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Whatts Law Current Pricing and Staff Compensation Policy</w:t>
      </w:r>
    </w:p>
    <w:p>
      <w:pPr>
        <w:pStyle w:val="Subtitle"/>
        <w:jc w:val="center"/>
      </w:pPr>
      <w:r>
        <w:t>Current Approved Schedule  |  Pricing  Compensation  and Billing Controls</w:t>
      </w:r>
    </w:p>
    <w:p>
      <w:pPr>
        <w:jc w:val="center"/>
      </w:pPr>
      <w:r>
        <w:rPr>
          <w:b/>
          <w:color w:val="A71930"/>
        </w:rPr>
        <w:t>Whatts Law Incorporated</w:t>
      </w:r>
    </w:p>
    <w:p>
      <w:pPr>
        <w:jc w:val="center"/>
      </w:pPr>
      <w:r>
        <w:rPr>
          <w:b/>
          <w:color w:val="A71930"/>
        </w:rPr>
        <w:t>CURRENT APPROVED SCHEDULE · EFFECTIVE 4 OCTOBER 2026</w:t>
      </w:r>
    </w:p>
    <w:p>
      <w:pPr>
        <w:pStyle w:val="Heading1"/>
      </w:pPr>
      <w:r>
        <w:t>Purpose and authority</w:t>
      </w:r>
    </w:p>
    <w:p>
      <w:r>
        <w:t>This is the current approved Whatts Law Incorporated pricing and compensation schedule. The website and its independent records are authoritative. Discord publishes synchronized guides and links but is not the permanent billing, matter, payroll, or document database. All amounts are in-city roleplay currency.</w:t>
      </w:r>
    </w:p>
    <w:p>
      <w:pPr>
        <w:pStyle w:val="Heading1"/>
      </w:pPr>
      <w:r>
        <w:t>Regular representation</w:t>
      </w:r>
    </w:p>
    <w:tbl>
      <w:tblPr>
        <w:tblW w:type="auto" w:w="0"/>
        <w:jc w:val="center"/>
        <w:tblLayout w:type="autofit"/>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60"/>
        <w:gridCol w:w="3360"/>
        <w:gridCol w:w="3360"/>
      </w:tblGrid>
      <w:tr>
        <w:trPr>
          <w:cantSplit/>
        </w:trPr>
        <w:tc>
          <w:tcPr>
            <w:tcW w:type="dxa" w:w="3360"/>
            <w:shd w:fill="171717"/>
            <w:vAlign w:val="center"/>
            <w:tcMar>
              <w:top w:w="110" w:type="dxa"/>
              <w:start w:w="110" w:type="dxa"/>
              <w:bottom w:w="110" w:type="dxa"/>
              <w:end w:w="110" w:type="dxa"/>
            </w:tcMar>
          </w:tcPr>
          <w:p>
            <w:r>
              <w:rPr>
                <w:b/>
                <w:color w:val="FFFFFF"/>
                <w:sz w:val="17"/>
              </w:rPr>
              <w:t>Item</w:t>
            </w:r>
          </w:p>
        </w:tc>
        <w:tc>
          <w:tcPr>
            <w:tcW w:type="dxa" w:w="3360"/>
            <w:shd w:fill="171717"/>
            <w:vAlign w:val="center"/>
            <w:tcMar>
              <w:top w:w="110" w:type="dxa"/>
              <w:start w:w="110" w:type="dxa"/>
              <w:bottom w:w="110" w:type="dxa"/>
              <w:end w:w="110" w:type="dxa"/>
            </w:tcMar>
          </w:tcPr>
          <w:p>
            <w:r>
              <w:rPr>
                <w:b/>
                <w:color w:val="FFFFFF"/>
                <w:sz w:val="17"/>
              </w:rPr>
              <w:t>Approved amount</w:t>
            </w:r>
          </w:p>
        </w:tc>
        <w:tc>
          <w:tcPr>
            <w:tcW w:type="dxa" w:w="3360"/>
            <w:shd w:fill="171717"/>
            <w:vAlign w:val="center"/>
            <w:tcMar>
              <w:top w:w="110" w:type="dxa"/>
              <w:start w:w="110" w:type="dxa"/>
              <w:bottom w:w="110" w:type="dxa"/>
              <w:end w:w="110" w:type="dxa"/>
            </w:tcMar>
          </w:tcPr>
          <w:p>
            <w:r>
              <w:rPr>
                <w:b/>
                <w:color w:val="FFFFFF"/>
                <w:sz w:val="17"/>
              </w:rPr>
              <w:t>Allocation and rule</w:t>
            </w:r>
          </w:p>
        </w:tc>
      </w:tr>
      <w:tr>
        <w:trPr>
          <w:cantSplit/>
        </w:trPr>
        <w:tc>
          <w:tcPr>
            <w:tcW w:type="dxa" w:w="3360"/>
            <w:vAlign w:val="center"/>
            <w:tcMar>
              <w:top w:w="110" w:type="dxa"/>
              <w:start w:w="110" w:type="dxa"/>
              <w:bottom w:w="110" w:type="dxa"/>
              <w:end w:w="110" w:type="dxa"/>
            </w:tcMar>
          </w:tcPr>
          <w:p>
            <w:pPr>
              <w:spacing w:after="0"/>
            </w:pPr>
            <w:r>
              <w:rPr>
                <w:sz w:val="16"/>
              </w:rPr>
              <w:t>Representation retainer for one matter</w:t>
            </w:r>
          </w:p>
        </w:tc>
        <w:tc>
          <w:tcPr>
            <w:tcW w:type="dxa" w:w="3360"/>
            <w:vAlign w:val="center"/>
            <w:tcMar>
              <w:top w:w="110" w:type="dxa"/>
              <w:start w:w="110" w:type="dxa"/>
              <w:bottom w:w="110" w:type="dxa"/>
              <w:end w:w="110" w:type="dxa"/>
            </w:tcMar>
          </w:tcPr>
          <w:p>
            <w:pPr>
              <w:spacing w:after="0"/>
            </w:pPr>
            <w:r>
              <w:rPr>
                <w:sz w:val="16"/>
              </w:rPr>
              <w:t>$75,000</w:t>
            </w:r>
          </w:p>
        </w:tc>
        <w:tc>
          <w:tcPr>
            <w:tcW w:type="dxa" w:w="3360"/>
            <w:vAlign w:val="center"/>
            <w:tcMar>
              <w:top w:w="110" w:type="dxa"/>
              <w:start w:w="110" w:type="dxa"/>
              <w:bottom w:w="110" w:type="dxa"/>
              <w:end w:w="110" w:type="dxa"/>
            </w:tcMar>
          </w:tcPr>
          <w:p>
            <w:pPr>
              <w:spacing w:after="0"/>
            </w:pPr>
            <w:r>
              <w:rPr>
                <w:sz w:val="16"/>
              </w:rPr>
              <w:t>$55,000 attorney allocation and $20,000 Whatts Law operations and support allocation</w:t>
            </w:r>
          </w:p>
        </w:tc>
      </w:tr>
    </w:tbl>
    <w:p>
      <w:pPr>
        <w:spacing w:after="20"/>
      </w:pPr>
    </w:p>
    <w:p>
      <w:r>
        <w:t>Payment alone does not create representation. Whatts Law Incorporated must confirm the matter, scope, conflicts review, and acceptance through authorized leadership or counsel. Court charges and authorized support-staff work are separate as described below.</w:t>
      </w:r>
    </w:p>
    <w:p>
      <w:pPr>
        <w:pStyle w:val="Heading1"/>
      </w:pPr>
      <w:r>
        <w:t>Individual prepaid plans</w:t>
      </w:r>
    </w:p>
    <w:tbl>
      <w:tblPr>
        <w:tblW w:type="auto" w:w="0"/>
        <w:jc w:val="center"/>
        <w:tblLayout w:type="autofit"/>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680"/>
        <w:gridCol w:w="1680"/>
        <w:gridCol w:w="1680"/>
        <w:gridCol w:w="1680"/>
        <w:gridCol w:w="1680"/>
        <w:gridCol w:w="1680"/>
      </w:tblGrid>
      <w:tr>
        <w:trPr>
          <w:cantSplit/>
        </w:trPr>
        <w:tc>
          <w:tcPr>
            <w:tcW w:type="dxa" w:w="1680"/>
            <w:shd w:fill="171717"/>
            <w:vAlign w:val="center"/>
            <w:tcMar>
              <w:top w:w="110" w:type="dxa"/>
              <w:start w:w="110" w:type="dxa"/>
              <w:bottom w:w="110" w:type="dxa"/>
              <w:end w:w="110" w:type="dxa"/>
            </w:tcMar>
          </w:tcPr>
          <w:p>
            <w:r>
              <w:rPr>
                <w:b/>
                <w:color w:val="FFFFFF"/>
                <w:sz w:val="17"/>
              </w:rPr>
              <w:t>Tier</w:t>
            </w:r>
          </w:p>
        </w:tc>
        <w:tc>
          <w:tcPr>
            <w:tcW w:type="dxa" w:w="1680"/>
            <w:shd w:fill="171717"/>
            <w:vAlign w:val="center"/>
            <w:tcMar>
              <w:top w:w="110" w:type="dxa"/>
              <w:start w:w="110" w:type="dxa"/>
              <w:bottom w:w="110" w:type="dxa"/>
              <w:end w:w="110" w:type="dxa"/>
            </w:tcMar>
          </w:tcPr>
          <w:p>
            <w:r>
              <w:rPr>
                <w:b/>
                <w:color w:val="FFFFFF"/>
                <w:sz w:val="17"/>
              </w:rPr>
              <w:t>Opening fund</w:t>
            </w:r>
          </w:p>
        </w:tc>
        <w:tc>
          <w:tcPr>
            <w:tcW w:type="dxa" w:w="1680"/>
            <w:shd w:fill="171717"/>
            <w:vAlign w:val="center"/>
            <w:tcMar>
              <w:top w:w="110" w:type="dxa"/>
              <w:start w:w="110" w:type="dxa"/>
              <w:bottom w:w="110" w:type="dxa"/>
              <w:end w:w="110" w:type="dxa"/>
            </w:tcMar>
          </w:tcPr>
          <w:p>
            <w:r>
              <w:rPr>
                <w:b/>
                <w:color w:val="FFFFFF"/>
                <w:sz w:val="17"/>
              </w:rPr>
              <w:t>One-time setup</w:t>
            </w:r>
          </w:p>
        </w:tc>
        <w:tc>
          <w:tcPr>
            <w:tcW w:type="dxa" w:w="1680"/>
            <w:shd w:fill="171717"/>
            <w:vAlign w:val="center"/>
            <w:tcMar>
              <w:top w:w="110" w:type="dxa"/>
              <w:start w:w="110" w:type="dxa"/>
              <w:bottom w:w="110" w:type="dxa"/>
              <w:end w:w="110" w:type="dxa"/>
            </w:tcMar>
          </w:tcPr>
          <w:p>
            <w:r>
              <w:rPr>
                <w:b/>
                <w:color w:val="FFFFFF"/>
                <w:sz w:val="17"/>
              </w:rPr>
              <w:t>Monthly maintenance</w:t>
            </w:r>
          </w:p>
        </w:tc>
        <w:tc>
          <w:tcPr>
            <w:tcW w:type="dxa" w:w="1680"/>
            <w:shd w:fill="171717"/>
            <w:vAlign w:val="center"/>
            <w:tcMar>
              <w:top w:w="110" w:type="dxa"/>
              <w:start w:w="110" w:type="dxa"/>
              <w:bottom w:w="110" w:type="dxa"/>
              <w:end w:w="110" w:type="dxa"/>
            </w:tcMar>
          </w:tcPr>
          <w:p>
            <w:r>
              <w:rPr>
                <w:b/>
                <w:color w:val="FFFFFF"/>
                <w:sz w:val="17"/>
              </w:rPr>
              <w:t>Eligible matter charge</w:t>
            </w:r>
          </w:p>
        </w:tc>
        <w:tc>
          <w:tcPr>
            <w:tcW w:type="dxa" w:w="1680"/>
            <w:shd w:fill="171717"/>
            <w:vAlign w:val="center"/>
            <w:tcMar>
              <w:top w:w="110" w:type="dxa"/>
              <w:start w:w="110" w:type="dxa"/>
              <w:bottom w:w="110" w:type="dxa"/>
              <w:end w:w="110" w:type="dxa"/>
            </w:tcMar>
          </w:tcPr>
          <w:p>
            <w:r>
              <w:rPr>
                <w:b/>
                <w:color w:val="FFFFFF"/>
                <w:sz w:val="17"/>
              </w:rPr>
              <w:t>Replenishment</w:t>
            </w:r>
          </w:p>
        </w:tc>
      </w:tr>
      <w:tr>
        <w:trPr>
          <w:cantSplit/>
        </w:trPr>
        <w:tc>
          <w:tcPr>
            <w:tcW w:type="dxa" w:w="1680"/>
            <w:vAlign w:val="center"/>
            <w:tcMar>
              <w:top w:w="110" w:type="dxa"/>
              <w:start w:w="110" w:type="dxa"/>
              <w:bottom w:w="110" w:type="dxa"/>
              <w:end w:w="110" w:type="dxa"/>
            </w:tcMar>
          </w:tcPr>
          <w:p>
            <w:pPr>
              <w:spacing w:after="0"/>
            </w:pPr>
            <w:r>
              <w:rPr>
                <w:sz w:val="16"/>
              </w:rPr>
              <w:t>Silver</w:t>
            </w:r>
          </w:p>
        </w:tc>
        <w:tc>
          <w:tcPr>
            <w:tcW w:type="dxa" w:w="1680"/>
            <w:vAlign w:val="center"/>
            <w:tcMar>
              <w:top w:w="110" w:type="dxa"/>
              <w:start w:w="110" w:type="dxa"/>
              <w:bottom w:w="110" w:type="dxa"/>
              <w:end w:w="110" w:type="dxa"/>
            </w:tcMar>
          </w:tcPr>
          <w:p>
            <w:pPr>
              <w:spacing w:after="0"/>
            </w:pPr>
            <w:r>
              <w:rPr>
                <w:sz w:val="16"/>
              </w:rPr>
              <w:t>$200,000</w:t>
            </w:r>
          </w:p>
        </w:tc>
        <w:tc>
          <w:tcPr>
            <w:tcW w:type="dxa" w:w="1680"/>
            <w:vAlign w:val="center"/>
            <w:tcMar>
              <w:top w:w="110" w:type="dxa"/>
              <w:start w:w="110" w:type="dxa"/>
              <w:bottom w:w="110" w:type="dxa"/>
              <w:end w:w="110" w:type="dxa"/>
            </w:tcMar>
          </w:tcPr>
          <w:p>
            <w:pPr>
              <w:spacing w:after="0"/>
            </w:pPr>
            <w:r>
              <w:rPr>
                <w:sz w:val="16"/>
              </w:rPr>
              <w:t>$100,000</w:t>
            </w:r>
          </w:p>
        </w:tc>
        <w:tc>
          <w:tcPr>
            <w:tcW w:type="dxa" w:w="1680"/>
            <w:vAlign w:val="center"/>
            <w:tcMar>
              <w:top w:w="110" w:type="dxa"/>
              <w:start w:w="110" w:type="dxa"/>
              <w:bottom w:w="110" w:type="dxa"/>
              <w:end w:w="110" w:type="dxa"/>
            </w:tcMar>
          </w:tcPr>
          <w:p>
            <w:pPr>
              <w:spacing w:after="0"/>
            </w:pPr>
            <w:r>
              <w:rPr>
                <w:sz w:val="16"/>
              </w:rPr>
              <w:t>$15,000</w:t>
            </w:r>
          </w:p>
        </w:tc>
        <w:tc>
          <w:tcPr>
            <w:tcW w:type="dxa" w:w="1680"/>
            <w:vAlign w:val="center"/>
            <w:tcMar>
              <w:top w:w="110" w:type="dxa"/>
              <w:start w:w="110" w:type="dxa"/>
              <w:bottom w:w="110" w:type="dxa"/>
              <w:end w:w="110" w:type="dxa"/>
            </w:tcMar>
          </w:tcPr>
          <w:p>
            <w:pPr>
              <w:spacing w:after="0"/>
            </w:pPr>
            <w:r>
              <w:rPr>
                <w:sz w:val="16"/>
              </w:rPr>
              <w:t>$60,000</w:t>
            </w:r>
          </w:p>
        </w:tc>
        <w:tc>
          <w:tcPr>
            <w:tcW w:type="dxa" w:w="1680"/>
            <w:vAlign w:val="center"/>
            <w:tcMar>
              <w:top w:w="110" w:type="dxa"/>
              <w:start w:w="110" w:type="dxa"/>
              <w:bottom w:w="110" w:type="dxa"/>
              <w:end w:w="110" w:type="dxa"/>
            </w:tcMar>
          </w:tcPr>
          <w:p>
            <w:pPr>
              <w:spacing w:after="0"/>
            </w:pPr>
            <w:r>
              <w:rPr>
                <w:sz w:val="16"/>
              </w:rPr>
              <w:t>Restore the fund within 3 calendar days after the threshold is reached</w:t>
            </w:r>
          </w:p>
        </w:tc>
      </w:tr>
      <w:tr>
        <w:trPr>
          <w:cantSplit/>
        </w:trPr>
        <w:tc>
          <w:tcPr>
            <w:tcW w:type="dxa" w:w="1680"/>
            <w:vAlign w:val="center"/>
            <w:shd w:fill="F4F4F4"/>
            <w:tcMar>
              <w:top w:w="110" w:type="dxa"/>
              <w:start w:w="110" w:type="dxa"/>
              <w:bottom w:w="110" w:type="dxa"/>
              <w:end w:w="110" w:type="dxa"/>
            </w:tcMar>
          </w:tcPr>
          <w:p>
            <w:pPr>
              <w:spacing w:after="0"/>
            </w:pPr>
            <w:r>
              <w:rPr>
                <w:sz w:val="16"/>
              </w:rPr>
              <w:t>Gold</w:t>
            </w:r>
          </w:p>
        </w:tc>
        <w:tc>
          <w:tcPr>
            <w:tcW w:type="dxa" w:w="1680"/>
            <w:vAlign w:val="center"/>
            <w:shd w:fill="F4F4F4"/>
            <w:tcMar>
              <w:top w:w="110" w:type="dxa"/>
              <w:start w:w="110" w:type="dxa"/>
              <w:bottom w:w="110" w:type="dxa"/>
              <w:end w:w="110" w:type="dxa"/>
            </w:tcMar>
          </w:tcPr>
          <w:p>
            <w:pPr>
              <w:spacing w:after="0"/>
            </w:pPr>
            <w:r>
              <w:rPr>
                <w:sz w:val="16"/>
              </w:rPr>
              <w:t>$350,000</w:t>
            </w:r>
          </w:p>
        </w:tc>
        <w:tc>
          <w:tcPr>
            <w:tcW w:type="dxa" w:w="1680"/>
            <w:vAlign w:val="center"/>
            <w:shd w:fill="F4F4F4"/>
            <w:tcMar>
              <w:top w:w="110" w:type="dxa"/>
              <w:start w:w="110" w:type="dxa"/>
              <w:bottom w:w="110" w:type="dxa"/>
              <w:end w:w="110" w:type="dxa"/>
            </w:tcMar>
          </w:tcPr>
          <w:p>
            <w:pPr>
              <w:spacing w:after="0"/>
            </w:pPr>
            <w:r>
              <w:rPr>
                <w:sz w:val="16"/>
              </w:rPr>
              <w:t>$175,000</w:t>
            </w:r>
          </w:p>
        </w:tc>
        <w:tc>
          <w:tcPr>
            <w:tcW w:type="dxa" w:w="1680"/>
            <w:vAlign w:val="center"/>
            <w:shd w:fill="F4F4F4"/>
            <w:tcMar>
              <w:top w:w="110" w:type="dxa"/>
              <w:start w:w="110" w:type="dxa"/>
              <w:bottom w:w="110" w:type="dxa"/>
              <w:end w:w="110" w:type="dxa"/>
            </w:tcMar>
          </w:tcPr>
          <w:p>
            <w:pPr>
              <w:spacing w:after="0"/>
            </w:pPr>
            <w:r>
              <w:rPr>
                <w:sz w:val="16"/>
              </w:rPr>
              <w:t>$15,000</w:t>
            </w:r>
          </w:p>
        </w:tc>
        <w:tc>
          <w:tcPr>
            <w:tcW w:type="dxa" w:w="1680"/>
            <w:vAlign w:val="center"/>
            <w:shd w:fill="F4F4F4"/>
            <w:tcMar>
              <w:top w:w="110" w:type="dxa"/>
              <w:start w:w="110" w:type="dxa"/>
              <w:bottom w:w="110" w:type="dxa"/>
              <w:end w:w="110" w:type="dxa"/>
            </w:tcMar>
          </w:tcPr>
          <w:p>
            <w:pPr>
              <w:spacing w:after="0"/>
            </w:pPr>
            <w:r>
              <w:rPr>
                <w:sz w:val="16"/>
              </w:rPr>
              <w:t>$55,000</w:t>
            </w:r>
          </w:p>
        </w:tc>
        <w:tc>
          <w:tcPr>
            <w:tcW w:type="dxa" w:w="1680"/>
            <w:vAlign w:val="center"/>
            <w:shd w:fill="F4F4F4"/>
            <w:tcMar>
              <w:top w:w="110" w:type="dxa"/>
              <w:start w:w="110" w:type="dxa"/>
              <w:bottom w:w="110" w:type="dxa"/>
              <w:end w:w="110" w:type="dxa"/>
            </w:tcMar>
          </w:tcPr>
          <w:p>
            <w:pPr>
              <w:spacing w:after="0"/>
            </w:pPr>
            <w:r>
              <w:rPr>
                <w:sz w:val="16"/>
              </w:rPr>
              <w:t>Restore the fund within 5 calendar days after the threshold is reached</w:t>
            </w:r>
          </w:p>
        </w:tc>
      </w:tr>
      <w:tr>
        <w:trPr>
          <w:cantSplit/>
        </w:trPr>
        <w:tc>
          <w:tcPr>
            <w:tcW w:type="dxa" w:w="1680"/>
            <w:vAlign w:val="center"/>
            <w:tcMar>
              <w:top w:w="110" w:type="dxa"/>
              <w:start w:w="110" w:type="dxa"/>
              <w:bottom w:w="110" w:type="dxa"/>
              <w:end w:w="110" w:type="dxa"/>
            </w:tcMar>
          </w:tcPr>
          <w:p>
            <w:pPr>
              <w:spacing w:after="0"/>
            </w:pPr>
            <w:r>
              <w:rPr>
                <w:sz w:val="16"/>
              </w:rPr>
              <w:t>Platinum</w:t>
            </w:r>
          </w:p>
        </w:tc>
        <w:tc>
          <w:tcPr>
            <w:tcW w:type="dxa" w:w="1680"/>
            <w:vAlign w:val="center"/>
            <w:tcMar>
              <w:top w:w="110" w:type="dxa"/>
              <w:start w:w="110" w:type="dxa"/>
              <w:bottom w:w="110" w:type="dxa"/>
              <w:end w:w="110" w:type="dxa"/>
            </w:tcMar>
          </w:tcPr>
          <w:p>
            <w:pPr>
              <w:spacing w:after="0"/>
            </w:pPr>
            <w:r>
              <w:rPr>
                <w:sz w:val="16"/>
              </w:rPr>
              <w:t>$500,000</w:t>
            </w:r>
          </w:p>
        </w:tc>
        <w:tc>
          <w:tcPr>
            <w:tcW w:type="dxa" w:w="1680"/>
            <w:vAlign w:val="center"/>
            <w:tcMar>
              <w:top w:w="110" w:type="dxa"/>
              <w:start w:w="110" w:type="dxa"/>
              <w:bottom w:w="110" w:type="dxa"/>
              <w:end w:w="110" w:type="dxa"/>
            </w:tcMar>
          </w:tcPr>
          <w:p>
            <w:pPr>
              <w:spacing w:after="0"/>
            </w:pPr>
            <w:r>
              <w:rPr>
                <w:sz w:val="16"/>
              </w:rPr>
              <w:t>$250,000</w:t>
            </w:r>
          </w:p>
        </w:tc>
        <w:tc>
          <w:tcPr>
            <w:tcW w:type="dxa" w:w="1680"/>
            <w:vAlign w:val="center"/>
            <w:tcMar>
              <w:top w:w="110" w:type="dxa"/>
              <w:start w:w="110" w:type="dxa"/>
              <w:bottom w:w="110" w:type="dxa"/>
              <w:end w:w="110" w:type="dxa"/>
            </w:tcMar>
          </w:tcPr>
          <w:p>
            <w:pPr>
              <w:spacing w:after="0"/>
            </w:pPr>
            <w:r>
              <w:rPr>
                <w:sz w:val="16"/>
              </w:rPr>
              <w:t>$15,000</w:t>
            </w:r>
          </w:p>
        </w:tc>
        <w:tc>
          <w:tcPr>
            <w:tcW w:type="dxa" w:w="1680"/>
            <w:vAlign w:val="center"/>
            <w:tcMar>
              <w:top w:w="110" w:type="dxa"/>
              <w:start w:w="110" w:type="dxa"/>
              <w:bottom w:w="110" w:type="dxa"/>
              <w:end w:w="110" w:type="dxa"/>
            </w:tcMar>
          </w:tcPr>
          <w:p>
            <w:pPr>
              <w:spacing w:after="0"/>
            </w:pPr>
            <w:r>
              <w:rPr>
                <w:sz w:val="16"/>
              </w:rPr>
              <w:t>$50,000</w:t>
            </w:r>
          </w:p>
        </w:tc>
        <w:tc>
          <w:tcPr>
            <w:tcW w:type="dxa" w:w="1680"/>
            <w:vAlign w:val="center"/>
            <w:tcMar>
              <w:top w:w="110" w:type="dxa"/>
              <w:start w:w="110" w:type="dxa"/>
              <w:bottom w:w="110" w:type="dxa"/>
              <w:end w:w="110" w:type="dxa"/>
            </w:tcMar>
          </w:tcPr>
          <w:p>
            <w:pPr>
              <w:spacing w:after="0"/>
            </w:pPr>
            <w:r>
              <w:rPr>
                <w:sz w:val="16"/>
              </w:rPr>
              <w:t>Restore the fund within 7 calendar days after the threshold is reached</w:t>
            </w:r>
          </w:p>
        </w:tc>
      </w:tr>
    </w:tbl>
    <w:p>
      <w:pPr>
        <w:spacing w:after="20"/>
      </w:pPr>
    </w:p>
    <w:p>
      <w:r>
        <w:t>Every prepaid matter allocates $50,000 to the responsible attorney. The difference between the eligible matter charge and the attorney allocation is firm revenue for approved operations and support. Setup fees are charged once and are not replenished.</w:t>
      </w:r>
    </w:p>
    <w:p>
      <w:pPr>
        <w:pStyle w:val="Heading1"/>
      </w:pPr>
      <w:r>
        <w:t>Group prepaid plans</w:t>
      </w:r>
    </w:p>
    <w:p>
      <w:r>
        <w:t>Every group tier requires at least three named members. The per-member amount establishes that member's opening fund; it is paid initially and is not a recurring monthly member charge. The $40,000 group-maintenance fee is the only recurring monthly group charge and is assessed once per group, not once per member.</w:t>
      </w:r>
    </w:p>
    <w:tbl>
      <w:tblPr>
        <w:tblW w:type="auto" w:w="0"/>
        <w:jc w:val="center"/>
        <w:tblLayout w:type="autofit"/>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40"/>
        <w:gridCol w:w="1440"/>
        <w:gridCol w:w="1440"/>
        <w:gridCol w:w="1440"/>
        <w:gridCol w:w="1440"/>
        <w:gridCol w:w="1440"/>
        <w:gridCol w:w="1440"/>
      </w:tblGrid>
      <w:tr>
        <w:trPr>
          <w:cantSplit/>
        </w:trPr>
        <w:tc>
          <w:tcPr>
            <w:tcW w:type="dxa" w:w="1440"/>
            <w:shd w:fill="171717"/>
            <w:vAlign w:val="center"/>
            <w:tcMar>
              <w:top w:w="110" w:type="dxa"/>
              <w:start w:w="110" w:type="dxa"/>
              <w:bottom w:w="110" w:type="dxa"/>
              <w:end w:w="110" w:type="dxa"/>
            </w:tcMar>
          </w:tcPr>
          <w:p>
            <w:r>
              <w:rPr>
                <w:b/>
                <w:color w:val="FFFFFF"/>
                <w:sz w:val="17"/>
              </w:rPr>
              <w:t>Tier</w:t>
            </w:r>
          </w:p>
        </w:tc>
        <w:tc>
          <w:tcPr>
            <w:tcW w:type="dxa" w:w="1440"/>
            <w:shd w:fill="171717"/>
            <w:vAlign w:val="center"/>
            <w:tcMar>
              <w:top w:w="110" w:type="dxa"/>
              <w:start w:w="110" w:type="dxa"/>
              <w:bottom w:w="110" w:type="dxa"/>
              <w:end w:w="110" w:type="dxa"/>
            </w:tcMar>
          </w:tcPr>
          <w:p>
            <w:r>
              <w:rPr>
                <w:b/>
                <w:color w:val="FFFFFF"/>
                <w:sz w:val="17"/>
              </w:rPr>
              <w:t>Opening fund</w:t>
            </w:r>
          </w:p>
        </w:tc>
        <w:tc>
          <w:tcPr>
            <w:tcW w:type="dxa" w:w="1440"/>
            <w:shd w:fill="171717"/>
            <w:vAlign w:val="center"/>
            <w:tcMar>
              <w:top w:w="110" w:type="dxa"/>
              <w:start w:w="110" w:type="dxa"/>
              <w:bottom w:w="110" w:type="dxa"/>
              <w:end w:w="110" w:type="dxa"/>
            </w:tcMar>
          </w:tcPr>
          <w:p>
            <w:r>
              <w:rPr>
                <w:b/>
                <w:color w:val="FFFFFF"/>
                <w:sz w:val="17"/>
              </w:rPr>
              <w:t>One-time setup</w:t>
            </w:r>
          </w:p>
        </w:tc>
        <w:tc>
          <w:tcPr>
            <w:tcW w:type="dxa" w:w="1440"/>
            <w:shd w:fill="171717"/>
            <w:vAlign w:val="center"/>
            <w:tcMar>
              <w:top w:w="110" w:type="dxa"/>
              <w:start w:w="110" w:type="dxa"/>
              <w:bottom w:w="110" w:type="dxa"/>
              <w:end w:w="110" w:type="dxa"/>
            </w:tcMar>
          </w:tcPr>
          <w:p>
            <w:r>
              <w:rPr>
                <w:b/>
                <w:color w:val="FFFFFF"/>
                <w:sz w:val="17"/>
              </w:rPr>
              <w:t>Recurring member charge</w:t>
            </w:r>
          </w:p>
        </w:tc>
        <w:tc>
          <w:tcPr>
            <w:tcW w:type="dxa" w:w="1440"/>
            <w:shd w:fill="171717"/>
            <w:vAlign w:val="center"/>
            <w:tcMar>
              <w:top w:w="110" w:type="dxa"/>
              <w:start w:w="110" w:type="dxa"/>
              <w:bottom w:w="110" w:type="dxa"/>
              <w:end w:w="110" w:type="dxa"/>
            </w:tcMar>
          </w:tcPr>
          <w:p>
            <w:r>
              <w:rPr>
                <w:b/>
                <w:color w:val="FFFFFF"/>
                <w:sz w:val="17"/>
              </w:rPr>
              <w:t>Group maintenance each month</w:t>
            </w:r>
          </w:p>
        </w:tc>
        <w:tc>
          <w:tcPr>
            <w:tcW w:type="dxa" w:w="1440"/>
            <w:shd w:fill="171717"/>
            <w:vAlign w:val="center"/>
            <w:tcMar>
              <w:top w:w="110" w:type="dxa"/>
              <w:start w:w="110" w:type="dxa"/>
              <w:bottom w:w="110" w:type="dxa"/>
              <w:end w:w="110" w:type="dxa"/>
            </w:tcMar>
          </w:tcPr>
          <w:p>
            <w:r>
              <w:rPr>
                <w:b/>
                <w:color w:val="FFFFFF"/>
                <w:sz w:val="17"/>
              </w:rPr>
              <w:t>Eligible matter charge and threshold</w:t>
            </w:r>
          </w:p>
        </w:tc>
        <w:tc>
          <w:tcPr>
            <w:tcW w:type="dxa" w:w="1440"/>
            <w:shd w:fill="171717"/>
            <w:vAlign w:val="center"/>
            <w:tcMar>
              <w:top w:w="110" w:type="dxa"/>
              <w:start w:w="110" w:type="dxa"/>
              <w:bottom w:w="110" w:type="dxa"/>
              <w:end w:w="110" w:type="dxa"/>
            </w:tcMar>
          </w:tcPr>
          <w:p>
            <w:r>
              <w:rPr>
                <w:b/>
                <w:color w:val="FFFFFF"/>
                <w:sz w:val="17"/>
              </w:rPr>
              <w:t>Replenishment</w:t>
            </w:r>
          </w:p>
        </w:tc>
      </w:tr>
      <w:tr>
        <w:trPr>
          <w:cantSplit/>
        </w:trPr>
        <w:tc>
          <w:tcPr>
            <w:tcW w:type="dxa" w:w="1440"/>
            <w:vAlign w:val="center"/>
            <w:tcMar>
              <w:top w:w="110" w:type="dxa"/>
              <w:start w:w="110" w:type="dxa"/>
              <w:bottom w:w="110" w:type="dxa"/>
              <w:end w:w="110" w:type="dxa"/>
            </w:tcMar>
          </w:tcPr>
          <w:p>
            <w:pPr>
              <w:spacing w:after="0"/>
            </w:pPr>
            <w:r>
              <w:rPr>
                <w:sz w:val="16"/>
              </w:rPr>
              <w:t>Silver</w:t>
            </w:r>
          </w:p>
        </w:tc>
        <w:tc>
          <w:tcPr>
            <w:tcW w:type="dxa" w:w="1440"/>
            <w:vAlign w:val="center"/>
            <w:tcMar>
              <w:top w:w="110" w:type="dxa"/>
              <w:start w:w="110" w:type="dxa"/>
              <w:bottom w:w="110" w:type="dxa"/>
              <w:end w:w="110" w:type="dxa"/>
            </w:tcMar>
          </w:tcPr>
          <w:p>
            <w:pPr>
              <w:spacing w:after="0"/>
            </w:pPr>
            <w:r>
              <w:rPr>
                <w:sz w:val="16"/>
              </w:rPr>
              <w:t>$55,000 per member</w:t>
            </w:r>
          </w:p>
        </w:tc>
        <w:tc>
          <w:tcPr>
            <w:tcW w:type="dxa" w:w="1440"/>
            <w:vAlign w:val="center"/>
            <w:tcMar>
              <w:top w:w="110" w:type="dxa"/>
              <w:start w:w="110" w:type="dxa"/>
              <w:bottom w:w="110" w:type="dxa"/>
              <w:end w:w="110" w:type="dxa"/>
            </w:tcMar>
          </w:tcPr>
          <w:p>
            <w:pPr>
              <w:spacing w:after="0"/>
            </w:pPr>
            <w:r>
              <w:rPr>
                <w:sz w:val="16"/>
              </w:rPr>
              <w:t>$200,000</w:t>
            </w:r>
          </w:p>
        </w:tc>
        <w:tc>
          <w:tcPr>
            <w:tcW w:type="dxa" w:w="1440"/>
            <w:vAlign w:val="center"/>
            <w:tcMar>
              <w:top w:w="110" w:type="dxa"/>
              <w:start w:w="110" w:type="dxa"/>
              <w:bottom w:w="110" w:type="dxa"/>
              <w:end w:w="110" w:type="dxa"/>
            </w:tcMar>
          </w:tcPr>
          <w:p>
            <w:pPr>
              <w:spacing w:after="0"/>
            </w:pPr>
            <w:r>
              <w:rPr>
                <w:sz w:val="16"/>
              </w:rPr>
              <w:t>Not recurring</w:t>
            </w:r>
          </w:p>
        </w:tc>
        <w:tc>
          <w:tcPr>
            <w:tcW w:type="dxa" w:w="1440"/>
            <w:vAlign w:val="center"/>
            <w:tcMar>
              <w:top w:w="110" w:type="dxa"/>
              <w:start w:w="110" w:type="dxa"/>
              <w:bottom w:w="110" w:type="dxa"/>
              <w:end w:w="110" w:type="dxa"/>
            </w:tcMar>
          </w:tcPr>
          <w:p>
            <w:pPr>
              <w:spacing w:after="0"/>
            </w:pPr>
            <w:r>
              <w:rPr>
                <w:sz w:val="16"/>
              </w:rPr>
              <w:t>$40,000 per group</w:t>
            </w:r>
          </w:p>
        </w:tc>
        <w:tc>
          <w:tcPr>
            <w:tcW w:type="dxa" w:w="1440"/>
            <w:vAlign w:val="center"/>
            <w:tcMar>
              <w:top w:w="110" w:type="dxa"/>
              <w:start w:w="110" w:type="dxa"/>
              <w:bottom w:w="110" w:type="dxa"/>
              <w:end w:w="110" w:type="dxa"/>
            </w:tcMar>
          </w:tcPr>
          <w:p>
            <w:pPr>
              <w:spacing w:after="0"/>
            </w:pPr>
            <w:r>
              <w:rPr>
                <w:sz w:val="16"/>
              </w:rPr>
              <w:t>$60,000</w:t>
            </w:r>
          </w:p>
        </w:tc>
        <w:tc>
          <w:tcPr>
            <w:tcW w:type="dxa" w:w="1440"/>
            <w:vAlign w:val="center"/>
            <w:tcMar>
              <w:top w:w="110" w:type="dxa"/>
              <w:start w:w="110" w:type="dxa"/>
              <w:bottom w:w="110" w:type="dxa"/>
              <w:end w:w="110" w:type="dxa"/>
            </w:tcMar>
          </w:tcPr>
          <w:p>
            <w:pPr>
              <w:spacing w:after="0"/>
            </w:pPr>
            <w:r>
              <w:rPr>
                <w:sz w:val="16"/>
              </w:rPr>
              <w:t>Restore each member's opening fund when the group balance reaches $60,000 or less</w:t>
            </w:r>
          </w:p>
        </w:tc>
      </w:tr>
      <w:tr>
        <w:trPr>
          <w:cantSplit/>
        </w:trPr>
        <w:tc>
          <w:tcPr>
            <w:tcW w:type="dxa" w:w="1440"/>
            <w:vAlign w:val="center"/>
            <w:shd w:fill="F4F4F4"/>
            <w:tcMar>
              <w:top w:w="110" w:type="dxa"/>
              <w:start w:w="110" w:type="dxa"/>
              <w:bottom w:w="110" w:type="dxa"/>
              <w:end w:w="110" w:type="dxa"/>
            </w:tcMar>
          </w:tcPr>
          <w:p>
            <w:pPr>
              <w:spacing w:after="0"/>
            </w:pPr>
            <w:r>
              <w:rPr>
                <w:sz w:val="16"/>
              </w:rPr>
              <w:t>Gold</w:t>
            </w:r>
          </w:p>
        </w:tc>
        <w:tc>
          <w:tcPr>
            <w:tcW w:type="dxa" w:w="1440"/>
            <w:vAlign w:val="center"/>
            <w:shd w:fill="F4F4F4"/>
            <w:tcMar>
              <w:top w:w="110" w:type="dxa"/>
              <w:start w:w="110" w:type="dxa"/>
              <w:bottom w:w="110" w:type="dxa"/>
              <w:end w:w="110" w:type="dxa"/>
            </w:tcMar>
          </w:tcPr>
          <w:p>
            <w:pPr>
              <w:spacing w:after="0"/>
            </w:pPr>
            <w:r>
              <w:rPr>
                <w:sz w:val="16"/>
              </w:rPr>
              <w:t>$60,000 per member</w:t>
            </w:r>
          </w:p>
        </w:tc>
        <w:tc>
          <w:tcPr>
            <w:tcW w:type="dxa" w:w="1440"/>
            <w:vAlign w:val="center"/>
            <w:shd w:fill="F4F4F4"/>
            <w:tcMar>
              <w:top w:w="110" w:type="dxa"/>
              <w:start w:w="110" w:type="dxa"/>
              <w:bottom w:w="110" w:type="dxa"/>
              <w:end w:w="110" w:type="dxa"/>
            </w:tcMar>
          </w:tcPr>
          <w:p>
            <w:pPr>
              <w:spacing w:after="0"/>
            </w:pPr>
            <w:r>
              <w:rPr>
                <w:sz w:val="16"/>
              </w:rPr>
              <w:t>$350,000</w:t>
            </w:r>
          </w:p>
        </w:tc>
        <w:tc>
          <w:tcPr>
            <w:tcW w:type="dxa" w:w="1440"/>
            <w:vAlign w:val="center"/>
            <w:shd w:fill="F4F4F4"/>
            <w:tcMar>
              <w:top w:w="110" w:type="dxa"/>
              <w:start w:w="110" w:type="dxa"/>
              <w:bottom w:w="110" w:type="dxa"/>
              <w:end w:w="110" w:type="dxa"/>
            </w:tcMar>
          </w:tcPr>
          <w:p>
            <w:pPr>
              <w:spacing w:after="0"/>
            </w:pPr>
            <w:r>
              <w:rPr>
                <w:sz w:val="16"/>
              </w:rPr>
              <w:t>Not recurring</w:t>
            </w:r>
          </w:p>
        </w:tc>
        <w:tc>
          <w:tcPr>
            <w:tcW w:type="dxa" w:w="1440"/>
            <w:vAlign w:val="center"/>
            <w:shd w:fill="F4F4F4"/>
            <w:tcMar>
              <w:top w:w="110" w:type="dxa"/>
              <w:start w:w="110" w:type="dxa"/>
              <w:bottom w:w="110" w:type="dxa"/>
              <w:end w:w="110" w:type="dxa"/>
            </w:tcMar>
          </w:tcPr>
          <w:p>
            <w:pPr>
              <w:spacing w:after="0"/>
            </w:pPr>
            <w:r>
              <w:rPr>
                <w:sz w:val="16"/>
              </w:rPr>
              <w:t>$40,000 per group</w:t>
            </w:r>
          </w:p>
        </w:tc>
        <w:tc>
          <w:tcPr>
            <w:tcW w:type="dxa" w:w="1440"/>
            <w:vAlign w:val="center"/>
            <w:shd w:fill="F4F4F4"/>
            <w:tcMar>
              <w:top w:w="110" w:type="dxa"/>
              <w:start w:w="110" w:type="dxa"/>
              <w:bottom w:w="110" w:type="dxa"/>
              <w:end w:w="110" w:type="dxa"/>
            </w:tcMar>
          </w:tcPr>
          <w:p>
            <w:pPr>
              <w:spacing w:after="0"/>
            </w:pPr>
            <w:r>
              <w:rPr>
                <w:sz w:val="16"/>
              </w:rPr>
              <w:t>$55,000</w:t>
            </w:r>
          </w:p>
        </w:tc>
        <w:tc>
          <w:tcPr>
            <w:tcW w:type="dxa" w:w="1440"/>
            <w:vAlign w:val="center"/>
            <w:shd w:fill="F4F4F4"/>
            <w:tcMar>
              <w:top w:w="110" w:type="dxa"/>
              <w:start w:w="110" w:type="dxa"/>
              <w:bottom w:w="110" w:type="dxa"/>
              <w:end w:w="110" w:type="dxa"/>
            </w:tcMar>
          </w:tcPr>
          <w:p>
            <w:pPr>
              <w:spacing w:after="0"/>
            </w:pPr>
            <w:r>
              <w:rPr>
                <w:sz w:val="16"/>
              </w:rPr>
              <w:t>Restore each member's opening fund when the group balance reaches $55,000 or less</w:t>
            </w:r>
          </w:p>
        </w:tc>
      </w:tr>
      <w:tr>
        <w:trPr>
          <w:cantSplit/>
        </w:trPr>
        <w:tc>
          <w:tcPr>
            <w:tcW w:type="dxa" w:w="1440"/>
            <w:vAlign w:val="center"/>
            <w:tcMar>
              <w:top w:w="110" w:type="dxa"/>
              <w:start w:w="110" w:type="dxa"/>
              <w:bottom w:w="110" w:type="dxa"/>
              <w:end w:w="110" w:type="dxa"/>
            </w:tcMar>
          </w:tcPr>
          <w:p>
            <w:pPr>
              <w:spacing w:after="0"/>
            </w:pPr>
            <w:r>
              <w:rPr>
                <w:sz w:val="16"/>
              </w:rPr>
              <w:t>Platinum</w:t>
            </w:r>
          </w:p>
        </w:tc>
        <w:tc>
          <w:tcPr>
            <w:tcW w:type="dxa" w:w="1440"/>
            <w:vAlign w:val="center"/>
            <w:tcMar>
              <w:top w:w="110" w:type="dxa"/>
              <w:start w:w="110" w:type="dxa"/>
              <w:bottom w:w="110" w:type="dxa"/>
              <w:end w:w="110" w:type="dxa"/>
            </w:tcMar>
          </w:tcPr>
          <w:p>
            <w:pPr>
              <w:spacing w:after="0"/>
            </w:pPr>
            <w:r>
              <w:rPr>
                <w:sz w:val="16"/>
              </w:rPr>
              <w:t>$65,000 per member</w:t>
            </w:r>
          </w:p>
        </w:tc>
        <w:tc>
          <w:tcPr>
            <w:tcW w:type="dxa" w:w="1440"/>
            <w:vAlign w:val="center"/>
            <w:tcMar>
              <w:top w:w="110" w:type="dxa"/>
              <w:start w:w="110" w:type="dxa"/>
              <w:bottom w:w="110" w:type="dxa"/>
              <w:end w:w="110" w:type="dxa"/>
            </w:tcMar>
          </w:tcPr>
          <w:p>
            <w:pPr>
              <w:spacing w:after="0"/>
            </w:pPr>
            <w:r>
              <w:rPr>
                <w:sz w:val="16"/>
              </w:rPr>
              <w:t>$500,000</w:t>
            </w:r>
          </w:p>
        </w:tc>
        <w:tc>
          <w:tcPr>
            <w:tcW w:type="dxa" w:w="1440"/>
            <w:vAlign w:val="center"/>
            <w:tcMar>
              <w:top w:w="110" w:type="dxa"/>
              <w:start w:w="110" w:type="dxa"/>
              <w:bottom w:w="110" w:type="dxa"/>
              <w:end w:w="110" w:type="dxa"/>
            </w:tcMar>
          </w:tcPr>
          <w:p>
            <w:pPr>
              <w:spacing w:after="0"/>
            </w:pPr>
            <w:r>
              <w:rPr>
                <w:sz w:val="16"/>
              </w:rPr>
              <w:t>Not recurring</w:t>
            </w:r>
          </w:p>
        </w:tc>
        <w:tc>
          <w:tcPr>
            <w:tcW w:type="dxa" w:w="1440"/>
            <w:vAlign w:val="center"/>
            <w:tcMar>
              <w:top w:w="110" w:type="dxa"/>
              <w:start w:w="110" w:type="dxa"/>
              <w:bottom w:w="110" w:type="dxa"/>
              <w:end w:w="110" w:type="dxa"/>
            </w:tcMar>
          </w:tcPr>
          <w:p>
            <w:pPr>
              <w:spacing w:after="0"/>
            </w:pPr>
            <w:r>
              <w:rPr>
                <w:sz w:val="16"/>
              </w:rPr>
              <w:t>$40,000 per group</w:t>
            </w:r>
          </w:p>
        </w:tc>
        <w:tc>
          <w:tcPr>
            <w:tcW w:type="dxa" w:w="1440"/>
            <w:vAlign w:val="center"/>
            <w:tcMar>
              <w:top w:w="110" w:type="dxa"/>
              <w:start w:w="110" w:type="dxa"/>
              <w:bottom w:w="110" w:type="dxa"/>
              <w:end w:w="110" w:type="dxa"/>
            </w:tcMar>
          </w:tcPr>
          <w:p>
            <w:pPr>
              <w:spacing w:after="0"/>
            </w:pPr>
            <w:r>
              <w:rPr>
                <w:sz w:val="16"/>
              </w:rPr>
              <w:t>$50,000</w:t>
            </w:r>
          </w:p>
        </w:tc>
        <w:tc>
          <w:tcPr>
            <w:tcW w:type="dxa" w:w="1440"/>
            <w:vAlign w:val="center"/>
            <w:tcMar>
              <w:top w:w="110" w:type="dxa"/>
              <w:start w:w="110" w:type="dxa"/>
              <w:bottom w:w="110" w:type="dxa"/>
              <w:end w:w="110" w:type="dxa"/>
            </w:tcMar>
          </w:tcPr>
          <w:p>
            <w:pPr>
              <w:spacing w:after="0"/>
            </w:pPr>
            <w:r>
              <w:rPr>
                <w:sz w:val="16"/>
              </w:rPr>
              <w:t>Restore each member's opening fund when the group balance reaches $50,000 or less</w:t>
            </w:r>
          </w:p>
        </w:tc>
      </w:tr>
    </w:tbl>
    <w:p>
      <w:pPr>
        <w:spacing w:after="20"/>
      </w:pPr>
    </w:p>
    <w:p>
      <w:r>
        <w:t>Every prepaid group matter allocates $50,000 to the responsible attorney. Membership, covered work, fund ownership, billing contact, and roster changes must be recorded in the signed group agreement and authoritative website record.</w:t>
      </w:r>
    </w:p>
    <w:p>
      <w:pPr>
        <w:pStyle w:val="Heading1"/>
      </w:pPr>
      <w:r>
        <w:t>Prepaid administrative benefits by tier</w:t>
      </w:r>
    </w:p>
    <w:p>
      <w:r>
        <w:t>The support-staff allowance is a maximum number of assigned support staff members for each eligible matter. For a group retainer, the allowance applies separately to each member's matter. It is not a promise of dedicated employees and does not expand website, Discord, Drive, legal, or management authority.</w:t>
      </w:r>
    </w:p>
    <w:tbl>
      <w:tblPr>
        <w:tblW w:type="auto" w:w="0"/>
        <w:jc w:val="center"/>
        <w:tblLayout w:type="autofit"/>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16"/>
        <w:gridCol w:w="2016"/>
        <w:gridCol w:w="2016"/>
        <w:gridCol w:w="2016"/>
        <w:gridCol w:w="2016"/>
      </w:tblGrid>
      <w:tr>
        <w:trPr>
          <w:cantSplit/>
        </w:trPr>
        <w:tc>
          <w:tcPr>
            <w:tcW w:type="dxa" w:w="2016"/>
            <w:shd w:fill="171717"/>
            <w:vAlign w:val="center"/>
            <w:tcMar>
              <w:top w:w="110" w:type="dxa"/>
              <w:start w:w="110" w:type="dxa"/>
              <w:bottom w:w="110" w:type="dxa"/>
              <w:end w:w="110" w:type="dxa"/>
            </w:tcMar>
          </w:tcPr>
          <w:p>
            <w:r>
              <w:rPr>
                <w:b/>
                <w:color w:val="FFFFFF"/>
                <w:sz w:val="17"/>
              </w:rPr>
              <w:t>Tier</w:t>
            </w:r>
          </w:p>
        </w:tc>
        <w:tc>
          <w:tcPr>
            <w:tcW w:type="dxa" w:w="2016"/>
            <w:shd w:fill="171717"/>
            <w:vAlign w:val="center"/>
            <w:tcMar>
              <w:top w:w="110" w:type="dxa"/>
              <w:start w:w="110" w:type="dxa"/>
              <w:bottom w:w="110" w:type="dxa"/>
              <w:end w:w="110" w:type="dxa"/>
            </w:tcMar>
          </w:tcPr>
          <w:p>
            <w:r>
              <w:rPr>
                <w:b/>
                <w:color w:val="FFFFFF"/>
                <w:sz w:val="17"/>
              </w:rPr>
              <w:t>Review cadence</w:t>
            </w:r>
          </w:p>
        </w:tc>
        <w:tc>
          <w:tcPr>
            <w:tcW w:type="dxa" w:w="2016"/>
            <w:shd w:fill="171717"/>
            <w:vAlign w:val="center"/>
            <w:tcMar>
              <w:top w:w="110" w:type="dxa"/>
              <w:start w:w="110" w:type="dxa"/>
              <w:bottom w:w="110" w:type="dxa"/>
              <w:end w:w="110" w:type="dxa"/>
            </w:tcMar>
          </w:tcPr>
          <w:p>
            <w:r>
              <w:rPr>
                <w:b/>
                <w:color w:val="FFFFFF"/>
                <w:sz w:val="17"/>
              </w:rPr>
              <w:t>Support staff allowance</w:t>
            </w:r>
          </w:p>
        </w:tc>
        <w:tc>
          <w:tcPr>
            <w:tcW w:type="dxa" w:w="2016"/>
            <w:shd w:fill="171717"/>
            <w:vAlign w:val="center"/>
            <w:tcMar>
              <w:top w:w="110" w:type="dxa"/>
              <w:start w:w="110" w:type="dxa"/>
              <w:bottom w:w="110" w:type="dxa"/>
              <w:end w:w="110" w:type="dxa"/>
            </w:tcMar>
          </w:tcPr>
          <w:p>
            <w:r>
              <w:rPr>
                <w:b/>
                <w:color w:val="FFFFFF"/>
                <w:sz w:val="17"/>
              </w:rPr>
              <w:t>Support areas</w:t>
            </w:r>
          </w:p>
        </w:tc>
        <w:tc>
          <w:tcPr>
            <w:tcW w:type="dxa" w:w="2016"/>
            <w:shd w:fill="171717"/>
            <w:vAlign w:val="center"/>
            <w:tcMar>
              <w:top w:w="110" w:type="dxa"/>
              <w:start w:w="110" w:type="dxa"/>
              <w:bottom w:w="110" w:type="dxa"/>
              <w:end w:w="110" w:type="dxa"/>
            </w:tcMar>
          </w:tcPr>
          <w:p>
            <w:r>
              <w:rPr>
                <w:b/>
                <w:color w:val="FFFFFF"/>
                <w:sz w:val="17"/>
              </w:rPr>
              <w:t>Included administrative services</w:t>
            </w:r>
          </w:p>
        </w:tc>
      </w:tr>
      <w:tr>
        <w:trPr>
          <w:cantSplit/>
        </w:trPr>
        <w:tc>
          <w:tcPr>
            <w:tcW w:type="dxa" w:w="2016"/>
            <w:vAlign w:val="center"/>
            <w:tcMar>
              <w:top w:w="110" w:type="dxa"/>
              <w:start w:w="110" w:type="dxa"/>
              <w:bottom w:w="110" w:type="dxa"/>
              <w:end w:w="110" w:type="dxa"/>
            </w:tcMar>
          </w:tcPr>
          <w:p>
            <w:pPr>
              <w:spacing w:after="0"/>
            </w:pPr>
            <w:r>
              <w:rPr>
                <w:sz w:val="16"/>
              </w:rPr>
              <w:t>Silver</w:t>
            </w:r>
          </w:p>
        </w:tc>
        <w:tc>
          <w:tcPr>
            <w:tcW w:type="dxa" w:w="2016"/>
            <w:vAlign w:val="center"/>
            <w:tcMar>
              <w:top w:w="110" w:type="dxa"/>
              <w:start w:w="110" w:type="dxa"/>
              <w:bottom w:w="110" w:type="dxa"/>
              <w:end w:w="110" w:type="dxa"/>
            </w:tcMar>
          </w:tcPr>
          <w:p>
            <w:pPr>
              <w:spacing w:after="0"/>
            </w:pPr>
            <w:r>
              <w:rPr>
                <w:sz w:val="16"/>
              </w:rPr>
              <w:t>Monthly</w:t>
            </w:r>
          </w:p>
        </w:tc>
        <w:tc>
          <w:tcPr>
            <w:tcW w:type="dxa" w:w="2016"/>
            <w:vAlign w:val="center"/>
            <w:tcMar>
              <w:top w:w="110" w:type="dxa"/>
              <w:start w:w="110" w:type="dxa"/>
              <w:bottom w:w="110" w:type="dxa"/>
              <w:end w:w="110" w:type="dxa"/>
            </w:tcMar>
          </w:tcPr>
          <w:p>
            <w:pPr>
              <w:spacing w:after="0"/>
            </w:pPr>
            <w:r>
              <w:rPr>
                <w:sz w:val="16"/>
              </w:rPr>
              <w:t>Up to 1 per matter</w:t>
            </w:r>
          </w:p>
        </w:tc>
        <w:tc>
          <w:tcPr>
            <w:tcW w:type="dxa" w:w="2016"/>
            <w:vAlign w:val="center"/>
            <w:tcMar>
              <w:top w:w="110" w:type="dxa"/>
              <w:start w:w="110" w:type="dxa"/>
              <w:bottom w:w="110" w:type="dxa"/>
              <w:end w:w="110" w:type="dxa"/>
            </w:tcMar>
          </w:tcPr>
          <w:p>
            <w:pPr>
              <w:spacing w:after="0"/>
            </w:pPr>
            <w:r>
              <w:rPr>
                <w:sz w:val="16"/>
              </w:rPr>
              <w:t>Account administration</w:t>
            </w:r>
          </w:p>
        </w:tc>
        <w:tc>
          <w:tcPr>
            <w:tcW w:type="dxa" w:w="2016"/>
            <w:vAlign w:val="center"/>
            <w:tcMar>
              <w:top w:w="110" w:type="dxa"/>
              <w:start w:w="110" w:type="dxa"/>
              <w:bottom w:w="110" w:type="dxa"/>
              <w:end w:w="110" w:type="dxa"/>
            </w:tcMar>
          </w:tcPr>
          <w:p>
            <w:pPr>
              <w:spacing w:after="0"/>
            </w:pPr>
            <w:r>
              <w:rPr>
                <w:sz w:val="16"/>
              </w:rPr>
              <w:t>Agreement administration, balance monitoring, one monthly account review, monthly itemized statements, renewal tracking, and threshold alerts</w:t>
            </w:r>
          </w:p>
        </w:tc>
      </w:tr>
      <w:tr>
        <w:trPr>
          <w:cantSplit/>
        </w:trPr>
        <w:tc>
          <w:tcPr>
            <w:tcW w:type="dxa" w:w="2016"/>
            <w:vAlign w:val="center"/>
            <w:shd w:fill="F4F4F4"/>
            <w:tcMar>
              <w:top w:w="110" w:type="dxa"/>
              <w:start w:w="110" w:type="dxa"/>
              <w:bottom w:w="110" w:type="dxa"/>
              <w:end w:w="110" w:type="dxa"/>
            </w:tcMar>
          </w:tcPr>
          <w:p>
            <w:pPr>
              <w:spacing w:after="0"/>
            </w:pPr>
            <w:r>
              <w:rPr>
                <w:sz w:val="16"/>
              </w:rPr>
              <w:t>Gold</w:t>
            </w:r>
          </w:p>
        </w:tc>
        <w:tc>
          <w:tcPr>
            <w:tcW w:type="dxa" w:w="2016"/>
            <w:vAlign w:val="center"/>
            <w:shd w:fill="F4F4F4"/>
            <w:tcMar>
              <w:top w:w="110" w:type="dxa"/>
              <w:start w:w="110" w:type="dxa"/>
              <w:bottom w:w="110" w:type="dxa"/>
              <w:end w:w="110" w:type="dxa"/>
            </w:tcMar>
          </w:tcPr>
          <w:p>
            <w:pPr>
              <w:spacing w:after="0"/>
            </w:pPr>
            <w:r>
              <w:rPr>
                <w:sz w:val="16"/>
              </w:rPr>
              <w:t>Every two weeks</w:t>
            </w:r>
          </w:p>
        </w:tc>
        <w:tc>
          <w:tcPr>
            <w:tcW w:type="dxa" w:w="2016"/>
            <w:vAlign w:val="center"/>
            <w:shd w:fill="F4F4F4"/>
            <w:tcMar>
              <w:top w:w="110" w:type="dxa"/>
              <w:start w:w="110" w:type="dxa"/>
              <w:bottom w:w="110" w:type="dxa"/>
              <w:end w:w="110" w:type="dxa"/>
            </w:tcMar>
          </w:tcPr>
          <w:p>
            <w:pPr>
              <w:spacing w:after="0"/>
            </w:pPr>
            <w:r>
              <w:rPr>
                <w:sz w:val="16"/>
              </w:rPr>
              <w:t>Up to 2 per matter</w:t>
            </w:r>
          </w:p>
        </w:tc>
        <w:tc>
          <w:tcPr>
            <w:tcW w:type="dxa" w:w="2016"/>
            <w:vAlign w:val="center"/>
            <w:shd w:fill="F4F4F4"/>
            <w:tcMar>
              <w:top w:w="110" w:type="dxa"/>
              <w:start w:w="110" w:type="dxa"/>
              <w:bottom w:w="110" w:type="dxa"/>
              <w:end w:w="110" w:type="dxa"/>
            </w:tcMar>
          </w:tcPr>
          <w:p>
            <w:pPr>
              <w:spacing w:after="0"/>
            </w:pPr>
            <w:r>
              <w:rPr>
                <w:sz w:val="16"/>
              </w:rPr>
              <w:t>Account administration plus scheduling and document coordination</w:t>
            </w:r>
          </w:p>
        </w:tc>
        <w:tc>
          <w:tcPr>
            <w:tcW w:type="dxa" w:w="2016"/>
            <w:vAlign w:val="center"/>
            <w:shd w:fill="F4F4F4"/>
            <w:tcMar>
              <w:top w:w="110" w:type="dxa"/>
              <w:start w:w="110" w:type="dxa"/>
              <w:bottom w:w="110" w:type="dxa"/>
              <w:end w:w="110" w:type="dxa"/>
            </w:tcMar>
          </w:tcPr>
          <w:p>
            <w:pPr>
              <w:spacing w:after="0"/>
            </w:pPr>
            <w:r>
              <w:rPr>
                <w:sz w:val="16"/>
              </w:rPr>
              <w:t>All Silver services, a balance and renewal review every two weeks, document and appointment coordination, and priority administrative follow-up</w:t>
            </w:r>
          </w:p>
        </w:tc>
      </w:tr>
      <w:tr>
        <w:trPr>
          <w:cantSplit/>
        </w:trPr>
        <w:tc>
          <w:tcPr>
            <w:tcW w:type="dxa" w:w="2016"/>
            <w:vAlign w:val="center"/>
            <w:tcMar>
              <w:top w:w="110" w:type="dxa"/>
              <w:start w:w="110" w:type="dxa"/>
              <w:bottom w:w="110" w:type="dxa"/>
              <w:end w:w="110" w:type="dxa"/>
            </w:tcMar>
          </w:tcPr>
          <w:p>
            <w:pPr>
              <w:spacing w:after="0"/>
            </w:pPr>
            <w:r>
              <w:rPr>
                <w:sz w:val="16"/>
              </w:rPr>
              <w:t>Platinum</w:t>
            </w:r>
          </w:p>
        </w:tc>
        <w:tc>
          <w:tcPr>
            <w:tcW w:type="dxa" w:w="2016"/>
            <w:vAlign w:val="center"/>
            <w:tcMar>
              <w:top w:w="110" w:type="dxa"/>
              <w:start w:w="110" w:type="dxa"/>
              <w:bottom w:w="110" w:type="dxa"/>
              <w:end w:w="110" w:type="dxa"/>
            </w:tcMar>
          </w:tcPr>
          <w:p>
            <w:pPr>
              <w:spacing w:after="0"/>
            </w:pPr>
            <w:r>
              <w:rPr>
                <w:sz w:val="16"/>
              </w:rPr>
              <w:t>Weekly</w:t>
            </w:r>
          </w:p>
        </w:tc>
        <w:tc>
          <w:tcPr>
            <w:tcW w:type="dxa" w:w="2016"/>
            <w:vAlign w:val="center"/>
            <w:tcMar>
              <w:top w:w="110" w:type="dxa"/>
              <w:start w:w="110" w:type="dxa"/>
              <w:bottom w:w="110" w:type="dxa"/>
              <w:end w:w="110" w:type="dxa"/>
            </w:tcMar>
          </w:tcPr>
          <w:p>
            <w:pPr>
              <w:spacing w:after="0"/>
            </w:pPr>
            <w:r>
              <w:rPr>
                <w:sz w:val="16"/>
              </w:rPr>
              <w:t>Up to 3 per matter</w:t>
            </w:r>
          </w:p>
        </w:tc>
        <w:tc>
          <w:tcPr>
            <w:tcW w:type="dxa" w:w="2016"/>
            <w:vAlign w:val="center"/>
            <w:tcMar>
              <w:top w:w="110" w:type="dxa"/>
              <w:start w:w="110" w:type="dxa"/>
              <w:bottom w:w="110" w:type="dxa"/>
              <w:end w:w="110" w:type="dxa"/>
            </w:tcMar>
          </w:tcPr>
          <w:p>
            <w:pPr>
              <w:spacing w:after="0"/>
            </w:pPr>
            <w:r>
              <w:rPr>
                <w:sz w:val="16"/>
              </w:rPr>
              <w:t>Account administration, scheduling and document coordination, plus roster and matter coordination</w:t>
            </w:r>
          </w:p>
        </w:tc>
        <w:tc>
          <w:tcPr>
            <w:tcW w:type="dxa" w:w="2016"/>
            <w:vAlign w:val="center"/>
            <w:tcMar>
              <w:top w:w="110" w:type="dxa"/>
              <w:start w:w="110" w:type="dxa"/>
              <w:bottom w:w="110" w:type="dxa"/>
              <w:end w:w="110" w:type="dxa"/>
            </w:tcMar>
          </w:tcPr>
          <w:p>
            <w:pPr>
              <w:spacing w:after="0"/>
            </w:pPr>
            <w:r>
              <w:rPr>
                <w:sz w:val="16"/>
              </w:rPr>
              <w:t>All Gold services, a weekly balance and service review, priority workflow routing, and coordinated administrative support across active eligible matters</w:t>
            </w:r>
          </w:p>
        </w:tc>
      </w:tr>
    </w:tbl>
    <w:p>
      <w:pPr>
        <w:spacing w:after="20"/>
      </w:pPr>
    </w:p>
    <w:p>
      <w:r>
        <w:t>Group plans also include group-roster maintenance and member-change tracking. Monthly maintenance starts in the month after the opening payment. Support work remains role-scoped and matter-scoped, and separately authorized work is itemized through the authoritative accounting record.</w:t>
      </w:r>
    </w:p>
    <w:p>
      <w:pPr>
        <w:pStyle w:val="Heading1"/>
      </w:pPr>
      <w:r>
        <w:t>Court charges and retainer exclusions</w:t>
      </w:r>
    </w:p>
    <w:tbl>
      <w:tblPr>
        <w:tblW w:type="auto" w:w="0"/>
        <w:jc w:val="center"/>
        <w:tblLayout w:type="autofit"/>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5040"/>
            <w:shd w:fill="171717"/>
            <w:vAlign w:val="center"/>
            <w:tcMar>
              <w:top w:w="110" w:type="dxa"/>
              <w:start w:w="110" w:type="dxa"/>
              <w:bottom w:w="110" w:type="dxa"/>
              <w:end w:w="110" w:type="dxa"/>
            </w:tcMar>
          </w:tcPr>
          <w:p>
            <w:r>
              <w:rPr>
                <w:b/>
                <w:color w:val="FFFFFF"/>
                <w:sz w:val="17"/>
              </w:rPr>
              <w:t>Court service</w:t>
            </w:r>
          </w:p>
        </w:tc>
        <w:tc>
          <w:tcPr>
            <w:tcW w:type="dxa" w:w="5040"/>
            <w:shd w:fill="171717"/>
            <w:vAlign w:val="center"/>
            <w:tcMar>
              <w:top w:w="110" w:type="dxa"/>
              <w:start w:w="110" w:type="dxa"/>
              <w:bottom w:w="110" w:type="dxa"/>
              <w:end w:w="110" w:type="dxa"/>
            </w:tcMar>
          </w:tcPr>
          <w:p>
            <w:r>
              <w:rPr>
                <w:b/>
                <w:color w:val="FFFFFF"/>
                <w:sz w:val="17"/>
              </w:rPr>
              <w:t>Current charge</w:t>
            </w:r>
          </w:p>
        </w:tc>
      </w:tr>
      <w:tr>
        <w:trPr>
          <w:cantSplit/>
        </w:trPr>
        <w:tc>
          <w:tcPr>
            <w:tcW w:type="dxa" w:w="5040"/>
            <w:vAlign w:val="center"/>
            <w:tcMar>
              <w:top w:w="110" w:type="dxa"/>
              <w:start w:w="110" w:type="dxa"/>
              <w:bottom w:w="110" w:type="dxa"/>
              <w:end w:w="110" w:type="dxa"/>
            </w:tcMar>
          </w:tcPr>
          <w:p>
            <w:pPr>
              <w:spacing w:after="0"/>
            </w:pPr>
            <w:r>
              <w:rPr>
                <w:sz w:val="16"/>
              </w:rPr>
              <w:t>Name change</w:t>
            </w:r>
          </w:p>
        </w:tc>
        <w:tc>
          <w:tcPr>
            <w:tcW w:type="dxa" w:w="5040"/>
            <w:vAlign w:val="center"/>
            <w:tcMar>
              <w:top w:w="110" w:type="dxa"/>
              <w:start w:w="110" w:type="dxa"/>
              <w:bottom w:w="110" w:type="dxa"/>
              <w:end w:w="110" w:type="dxa"/>
            </w:tcMar>
          </w:tcPr>
          <w:p>
            <w:pPr>
              <w:spacing w:after="0"/>
            </w:pPr>
            <w:r>
              <w:rPr>
                <w:sz w:val="16"/>
              </w:rPr>
              <w:t>$30,000</w:t>
            </w:r>
          </w:p>
        </w:tc>
      </w:tr>
      <w:tr>
        <w:trPr>
          <w:cantSplit/>
        </w:trPr>
        <w:tc>
          <w:tcPr>
            <w:tcW w:type="dxa" w:w="5040"/>
            <w:vAlign w:val="center"/>
            <w:shd w:fill="F4F4F4"/>
            <w:tcMar>
              <w:top w:w="110" w:type="dxa"/>
              <w:start w:w="110" w:type="dxa"/>
              <w:bottom w:w="110" w:type="dxa"/>
              <w:end w:w="110" w:type="dxa"/>
            </w:tcMar>
          </w:tcPr>
          <w:p>
            <w:pPr>
              <w:spacing w:after="0"/>
            </w:pPr>
            <w:r>
              <w:rPr>
                <w:sz w:val="16"/>
              </w:rPr>
              <w:t>Marriage</w:t>
            </w:r>
          </w:p>
        </w:tc>
        <w:tc>
          <w:tcPr>
            <w:tcW w:type="dxa" w:w="5040"/>
            <w:vAlign w:val="center"/>
            <w:shd w:fill="F4F4F4"/>
            <w:tcMar>
              <w:top w:w="110" w:type="dxa"/>
              <w:start w:w="110" w:type="dxa"/>
              <w:bottom w:w="110" w:type="dxa"/>
              <w:end w:w="110" w:type="dxa"/>
            </w:tcMar>
          </w:tcPr>
          <w:p>
            <w:pPr>
              <w:spacing w:after="0"/>
            </w:pPr>
            <w:r>
              <w:rPr>
                <w:sz w:val="16"/>
              </w:rPr>
              <w:t>$30,000</w:t>
            </w:r>
          </w:p>
        </w:tc>
      </w:tr>
      <w:tr>
        <w:trPr>
          <w:cantSplit/>
        </w:trPr>
        <w:tc>
          <w:tcPr>
            <w:tcW w:type="dxa" w:w="5040"/>
            <w:vAlign w:val="center"/>
            <w:tcMar>
              <w:top w:w="110" w:type="dxa"/>
              <w:start w:w="110" w:type="dxa"/>
              <w:bottom w:w="110" w:type="dxa"/>
              <w:end w:w="110" w:type="dxa"/>
            </w:tcMar>
          </w:tcPr>
          <w:p>
            <w:pPr>
              <w:spacing w:after="0"/>
            </w:pPr>
            <w:r>
              <w:rPr>
                <w:sz w:val="16"/>
              </w:rPr>
              <w:t>Additional marriage name change</w:t>
            </w:r>
          </w:p>
        </w:tc>
        <w:tc>
          <w:tcPr>
            <w:tcW w:type="dxa" w:w="5040"/>
            <w:vAlign w:val="center"/>
            <w:tcMar>
              <w:top w:w="110" w:type="dxa"/>
              <w:start w:w="110" w:type="dxa"/>
              <w:bottom w:w="110" w:type="dxa"/>
              <w:end w:w="110" w:type="dxa"/>
            </w:tcMar>
          </w:tcPr>
          <w:p>
            <w:pPr>
              <w:spacing w:after="0"/>
            </w:pPr>
            <w:r>
              <w:rPr>
                <w:sz w:val="16"/>
              </w:rPr>
              <w:t>$30,000</w:t>
            </w:r>
          </w:p>
        </w:tc>
      </w:tr>
      <w:tr>
        <w:trPr>
          <w:cantSplit/>
        </w:trPr>
        <w:tc>
          <w:tcPr>
            <w:tcW w:type="dxa" w:w="5040"/>
            <w:vAlign w:val="center"/>
            <w:shd w:fill="F4F4F4"/>
            <w:tcMar>
              <w:top w:w="110" w:type="dxa"/>
              <w:start w:w="110" w:type="dxa"/>
              <w:bottom w:w="110" w:type="dxa"/>
              <w:end w:w="110" w:type="dxa"/>
            </w:tcMar>
          </w:tcPr>
          <w:p>
            <w:pPr>
              <w:spacing w:after="0"/>
            </w:pPr>
            <w:r>
              <w:rPr>
                <w:sz w:val="16"/>
              </w:rPr>
              <w:t>Civil filing</w:t>
            </w:r>
          </w:p>
        </w:tc>
        <w:tc>
          <w:tcPr>
            <w:tcW w:type="dxa" w:w="5040"/>
            <w:vAlign w:val="center"/>
            <w:shd w:fill="F4F4F4"/>
            <w:tcMar>
              <w:top w:w="110" w:type="dxa"/>
              <w:start w:w="110" w:type="dxa"/>
              <w:bottom w:w="110" w:type="dxa"/>
              <w:end w:w="110" w:type="dxa"/>
            </w:tcMar>
          </w:tcPr>
          <w:p>
            <w:pPr>
              <w:spacing w:after="0"/>
            </w:pPr>
            <w:r>
              <w:rPr>
                <w:sz w:val="16"/>
              </w:rPr>
              <w:t>$25,224 plus 15% of every requested reward</w:t>
            </w:r>
          </w:p>
        </w:tc>
      </w:tr>
      <w:tr>
        <w:trPr>
          <w:cantSplit/>
        </w:trPr>
        <w:tc>
          <w:tcPr>
            <w:tcW w:type="dxa" w:w="5040"/>
            <w:vAlign w:val="center"/>
            <w:tcMar>
              <w:top w:w="110" w:type="dxa"/>
              <w:start w:w="110" w:type="dxa"/>
              <w:bottom w:w="110" w:type="dxa"/>
              <w:end w:w="110" w:type="dxa"/>
            </w:tcMar>
          </w:tcPr>
          <w:p>
            <w:pPr>
              <w:spacing w:after="0"/>
            </w:pPr>
            <w:r>
              <w:rPr>
                <w:sz w:val="16"/>
              </w:rPr>
              <w:t>Business license base</w:t>
            </w:r>
          </w:p>
        </w:tc>
        <w:tc>
          <w:tcPr>
            <w:tcW w:type="dxa" w:w="5040"/>
            <w:vAlign w:val="center"/>
            <w:tcMar>
              <w:top w:w="110" w:type="dxa"/>
              <w:start w:w="110" w:type="dxa"/>
              <w:bottom w:w="110" w:type="dxa"/>
              <w:end w:w="110" w:type="dxa"/>
            </w:tcMar>
          </w:tcPr>
          <w:p>
            <w:pPr>
              <w:spacing w:after="0"/>
            </w:pPr>
            <w:r>
              <w:rPr>
                <w:sz w:val="16"/>
              </w:rPr>
              <w:t>$30,000</w:t>
            </w:r>
          </w:p>
        </w:tc>
      </w:tr>
      <w:tr>
        <w:trPr>
          <w:cantSplit/>
        </w:trPr>
        <w:tc>
          <w:tcPr>
            <w:tcW w:type="dxa" w:w="5040"/>
            <w:vAlign w:val="center"/>
            <w:shd w:fill="F4F4F4"/>
            <w:tcMar>
              <w:top w:w="110" w:type="dxa"/>
              <w:start w:w="110" w:type="dxa"/>
              <w:bottom w:w="110" w:type="dxa"/>
              <w:end w:w="110" w:type="dxa"/>
            </w:tcMar>
          </w:tcPr>
          <w:p>
            <w:pPr>
              <w:spacing w:after="0"/>
            </w:pPr>
            <w:r>
              <w:rPr>
                <w:sz w:val="16"/>
              </w:rPr>
              <w:t>Food and drink</w:t>
            </w:r>
          </w:p>
        </w:tc>
        <w:tc>
          <w:tcPr>
            <w:tcW w:type="dxa" w:w="5040"/>
            <w:vAlign w:val="center"/>
            <w:shd w:fill="F4F4F4"/>
            <w:tcMar>
              <w:top w:w="110" w:type="dxa"/>
              <w:start w:w="110" w:type="dxa"/>
              <w:bottom w:w="110" w:type="dxa"/>
              <w:end w:w="110" w:type="dxa"/>
            </w:tcMar>
          </w:tcPr>
          <w:p>
            <w:pPr>
              <w:spacing w:after="0"/>
            </w:pPr>
            <w:r>
              <w:rPr>
                <w:sz w:val="16"/>
              </w:rPr>
              <w:t>$30,000</w:t>
            </w:r>
          </w:p>
        </w:tc>
      </w:tr>
      <w:tr>
        <w:trPr>
          <w:cantSplit/>
        </w:trPr>
        <w:tc>
          <w:tcPr>
            <w:tcW w:type="dxa" w:w="5040"/>
            <w:vAlign w:val="center"/>
            <w:tcMar>
              <w:top w:w="110" w:type="dxa"/>
              <w:start w:w="110" w:type="dxa"/>
              <w:bottom w:w="110" w:type="dxa"/>
              <w:end w:w="110" w:type="dxa"/>
            </w:tcMar>
          </w:tcPr>
          <w:p>
            <w:pPr>
              <w:spacing w:after="0"/>
            </w:pPr>
            <w:r>
              <w:rPr>
                <w:sz w:val="16"/>
              </w:rPr>
              <w:t>Entertainment</w:t>
            </w:r>
          </w:p>
        </w:tc>
        <w:tc>
          <w:tcPr>
            <w:tcW w:type="dxa" w:w="5040"/>
            <w:vAlign w:val="center"/>
            <w:tcMar>
              <w:top w:w="110" w:type="dxa"/>
              <w:start w:w="110" w:type="dxa"/>
              <w:bottom w:w="110" w:type="dxa"/>
              <w:end w:w="110" w:type="dxa"/>
            </w:tcMar>
          </w:tcPr>
          <w:p>
            <w:pPr>
              <w:spacing w:after="0"/>
            </w:pPr>
            <w:r>
              <w:rPr>
                <w:sz w:val="16"/>
              </w:rPr>
              <w:t>$60,000</w:t>
            </w:r>
          </w:p>
        </w:tc>
      </w:tr>
      <w:tr>
        <w:trPr>
          <w:cantSplit/>
        </w:trPr>
        <w:tc>
          <w:tcPr>
            <w:tcW w:type="dxa" w:w="5040"/>
            <w:vAlign w:val="center"/>
            <w:shd w:fill="F4F4F4"/>
            <w:tcMar>
              <w:top w:w="110" w:type="dxa"/>
              <w:start w:w="110" w:type="dxa"/>
              <w:bottom w:w="110" w:type="dxa"/>
              <w:end w:w="110" w:type="dxa"/>
            </w:tcMar>
          </w:tcPr>
          <w:p>
            <w:pPr>
              <w:spacing w:after="0"/>
            </w:pPr>
            <w:r>
              <w:rPr>
                <w:sz w:val="16"/>
              </w:rPr>
              <w:t>Tobacco and liquor</w:t>
            </w:r>
          </w:p>
        </w:tc>
        <w:tc>
          <w:tcPr>
            <w:tcW w:type="dxa" w:w="5040"/>
            <w:vAlign w:val="center"/>
            <w:shd w:fill="F4F4F4"/>
            <w:tcMar>
              <w:top w:w="110" w:type="dxa"/>
              <w:start w:w="110" w:type="dxa"/>
              <w:bottom w:w="110" w:type="dxa"/>
              <w:end w:w="110" w:type="dxa"/>
            </w:tcMar>
          </w:tcPr>
          <w:p>
            <w:pPr>
              <w:spacing w:after="0"/>
            </w:pPr>
            <w:r>
              <w:rPr>
                <w:sz w:val="16"/>
              </w:rPr>
              <w:t>$90,000</w:t>
            </w:r>
          </w:p>
        </w:tc>
      </w:tr>
      <w:tr>
        <w:trPr>
          <w:cantSplit/>
        </w:trPr>
        <w:tc>
          <w:tcPr>
            <w:tcW w:type="dxa" w:w="5040"/>
            <w:vAlign w:val="center"/>
            <w:tcMar>
              <w:top w:w="110" w:type="dxa"/>
              <w:start w:w="110" w:type="dxa"/>
              <w:bottom w:w="110" w:type="dxa"/>
              <w:end w:w="110" w:type="dxa"/>
            </w:tcMar>
          </w:tcPr>
          <w:p>
            <w:pPr>
              <w:spacing w:after="0"/>
            </w:pPr>
            <w:r>
              <w:rPr>
                <w:sz w:val="16"/>
              </w:rPr>
              <w:t>Expungement</w:t>
            </w:r>
          </w:p>
        </w:tc>
        <w:tc>
          <w:tcPr>
            <w:tcW w:type="dxa" w:w="5040"/>
            <w:vAlign w:val="center"/>
            <w:tcMar>
              <w:top w:w="110" w:type="dxa"/>
              <w:start w:w="110" w:type="dxa"/>
              <w:bottom w:w="110" w:type="dxa"/>
              <w:end w:w="110" w:type="dxa"/>
            </w:tcMar>
          </w:tcPr>
          <w:p>
            <w:pPr>
              <w:spacing w:after="0"/>
            </w:pPr>
            <w:r>
              <w:rPr>
                <w:sz w:val="16"/>
              </w:rPr>
              <w:t>$35,000 plus $7,000 per charge</w:t>
            </w:r>
          </w:p>
        </w:tc>
      </w:tr>
    </w:tbl>
    <w:p>
      <w:pPr>
        <w:spacing w:after="20"/>
      </w:pPr>
    </w:p>
    <w:p>
      <w:r>
        <w:t>Prepaid funds cover representation, not court charges. Court charges are billed separately and paid by wire transfer when proof is due. Every civil reward request carries the 15% DOJ charge plus the separate $25,224 filing fee. For a requested reward greater than $150,000, Whatts Law adds a 5% nonrefundable charge, making the percentage total 20%. Exactly $150,000 remains at 15%.</w:t>
      </w:r>
    </w:p>
    <w:p>
      <w:r>
        <w:t>Authorized support-staff work is separately itemized against the retainer fund. No employee may hide, combine, or relabel a court charge, support charge, setup fee, maintenance fee, or attorney allocation.</w:t>
      </w:r>
    </w:p>
    <w:p>
      <w:pPr>
        <w:pStyle w:val="Heading1"/>
      </w:pPr>
      <w:r>
        <w:t>Staff compensation controls</w:t>
      </w:r>
    </w:p>
    <w:tbl>
      <w:tblPr>
        <w:tblW w:type="auto" w:w="0"/>
        <w:jc w:val="center"/>
        <w:tblLayout w:type="autofit"/>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5040"/>
            <w:shd w:fill="171717"/>
            <w:vAlign w:val="center"/>
            <w:tcMar>
              <w:top w:w="110" w:type="dxa"/>
              <w:start w:w="110" w:type="dxa"/>
              <w:bottom w:w="110" w:type="dxa"/>
              <w:end w:w="110" w:type="dxa"/>
            </w:tcMar>
          </w:tcPr>
          <w:p>
            <w:r>
              <w:rPr>
                <w:b/>
                <w:color w:val="FFFFFF"/>
                <w:sz w:val="17"/>
              </w:rPr>
              <w:t>Role or payment</w:t>
            </w:r>
          </w:p>
        </w:tc>
        <w:tc>
          <w:tcPr>
            <w:tcW w:type="dxa" w:w="5040"/>
            <w:shd w:fill="171717"/>
            <w:vAlign w:val="center"/>
            <w:tcMar>
              <w:top w:w="110" w:type="dxa"/>
              <w:start w:w="110" w:type="dxa"/>
              <w:bottom w:w="110" w:type="dxa"/>
              <w:end w:w="110" w:type="dxa"/>
            </w:tcMar>
          </w:tcPr>
          <w:p>
            <w:r>
              <w:rPr>
                <w:b/>
                <w:color w:val="FFFFFF"/>
                <w:sz w:val="17"/>
              </w:rPr>
              <w:t>Current rule</w:t>
            </w:r>
          </w:p>
        </w:tc>
      </w:tr>
      <w:tr>
        <w:trPr>
          <w:cantSplit/>
        </w:trPr>
        <w:tc>
          <w:tcPr>
            <w:tcW w:type="dxa" w:w="5040"/>
            <w:vAlign w:val="center"/>
            <w:tcMar>
              <w:top w:w="110" w:type="dxa"/>
              <w:start w:w="110" w:type="dxa"/>
              <w:bottom w:w="110" w:type="dxa"/>
              <w:end w:w="110" w:type="dxa"/>
            </w:tcMar>
          </w:tcPr>
          <w:p>
            <w:pPr>
              <w:spacing w:after="0"/>
            </w:pPr>
            <w:r>
              <w:rPr>
                <w:sz w:val="16"/>
              </w:rPr>
              <w:t>Attorney regular representation</w:t>
            </w:r>
          </w:p>
        </w:tc>
        <w:tc>
          <w:tcPr>
            <w:tcW w:type="dxa" w:w="5040"/>
            <w:vAlign w:val="center"/>
            <w:tcMar>
              <w:top w:w="110" w:type="dxa"/>
              <w:start w:w="110" w:type="dxa"/>
              <w:bottom w:w="110" w:type="dxa"/>
              <w:end w:w="110" w:type="dxa"/>
            </w:tcMar>
          </w:tcPr>
          <w:p>
            <w:pPr>
              <w:spacing w:after="0"/>
            </w:pPr>
            <w:r>
              <w:rPr>
                <w:sz w:val="16"/>
              </w:rPr>
              <w:t>$55,000 allocation from the $75,000 representation retainer</w:t>
            </w:r>
          </w:p>
        </w:tc>
      </w:tr>
      <w:tr>
        <w:trPr>
          <w:cantSplit/>
        </w:trPr>
        <w:tc>
          <w:tcPr>
            <w:tcW w:type="dxa" w:w="5040"/>
            <w:vAlign w:val="center"/>
            <w:shd w:fill="F4F4F4"/>
            <w:tcMar>
              <w:top w:w="110" w:type="dxa"/>
              <w:start w:w="110" w:type="dxa"/>
              <w:bottom w:w="110" w:type="dxa"/>
              <w:end w:w="110" w:type="dxa"/>
            </w:tcMar>
          </w:tcPr>
          <w:p>
            <w:pPr>
              <w:spacing w:after="0"/>
            </w:pPr>
            <w:r>
              <w:rPr>
                <w:sz w:val="16"/>
              </w:rPr>
              <w:t>Attorney prepaid matter</w:t>
            </w:r>
          </w:p>
        </w:tc>
        <w:tc>
          <w:tcPr>
            <w:tcW w:type="dxa" w:w="5040"/>
            <w:vAlign w:val="center"/>
            <w:shd w:fill="F4F4F4"/>
            <w:tcMar>
              <w:top w:w="110" w:type="dxa"/>
              <w:start w:w="110" w:type="dxa"/>
              <w:bottom w:w="110" w:type="dxa"/>
              <w:end w:w="110" w:type="dxa"/>
            </w:tcMar>
          </w:tcPr>
          <w:p>
            <w:pPr>
              <w:spacing w:after="0"/>
            </w:pPr>
            <w:r>
              <w:rPr>
                <w:sz w:val="16"/>
              </w:rPr>
              <w:t>$50,000 allocation for each eligible prepaid matter</w:t>
            </w:r>
          </w:p>
        </w:tc>
      </w:tr>
      <w:tr>
        <w:trPr>
          <w:cantSplit/>
        </w:trPr>
        <w:tc>
          <w:tcPr>
            <w:tcW w:type="dxa" w:w="5040"/>
            <w:vAlign w:val="center"/>
            <w:tcMar>
              <w:top w:w="110" w:type="dxa"/>
              <w:start w:w="110" w:type="dxa"/>
              <w:bottom w:w="110" w:type="dxa"/>
              <w:end w:w="110" w:type="dxa"/>
            </w:tcMar>
          </w:tcPr>
          <w:p>
            <w:pPr>
              <w:spacing w:after="0"/>
            </w:pPr>
            <w:r>
              <w:rPr>
                <w:sz w:val="16"/>
              </w:rPr>
              <w:t>Paralegal assignment</w:t>
            </w:r>
          </w:p>
        </w:tc>
        <w:tc>
          <w:tcPr>
            <w:tcW w:type="dxa" w:w="5040"/>
            <w:vAlign w:val="center"/>
            <w:tcMar>
              <w:top w:w="110" w:type="dxa"/>
              <w:start w:w="110" w:type="dxa"/>
              <w:bottom w:w="110" w:type="dxa"/>
              <w:end w:w="110" w:type="dxa"/>
            </w:tcMar>
          </w:tcPr>
          <w:p>
            <w:pPr>
              <w:spacing w:after="0"/>
            </w:pPr>
            <w:r>
              <w:rPr>
                <w:sz w:val="16"/>
              </w:rPr>
              <w:t>$2,000 to $5,000 per authorized assigned case, as recorded for that assignment</w:t>
            </w:r>
          </w:p>
        </w:tc>
      </w:tr>
      <w:tr>
        <w:trPr>
          <w:cantSplit/>
        </w:trPr>
        <w:tc>
          <w:tcPr>
            <w:tcW w:type="dxa" w:w="5040"/>
            <w:vAlign w:val="center"/>
            <w:shd w:fill="F4F4F4"/>
            <w:tcMar>
              <w:top w:w="110" w:type="dxa"/>
              <w:start w:w="110" w:type="dxa"/>
              <w:bottom w:w="110" w:type="dxa"/>
              <w:end w:w="110" w:type="dxa"/>
            </w:tcMar>
          </w:tcPr>
          <w:p>
            <w:pPr>
              <w:spacing w:after="0"/>
            </w:pPr>
            <w:r>
              <w:rPr>
                <w:sz w:val="16"/>
              </w:rPr>
              <w:t>Private Investigator assignment</w:t>
            </w:r>
          </w:p>
        </w:tc>
        <w:tc>
          <w:tcPr>
            <w:tcW w:type="dxa" w:w="5040"/>
            <w:vAlign w:val="center"/>
            <w:shd w:fill="F4F4F4"/>
            <w:tcMar>
              <w:top w:w="110" w:type="dxa"/>
              <w:start w:w="110" w:type="dxa"/>
              <w:bottom w:w="110" w:type="dxa"/>
              <w:end w:w="110" w:type="dxa"/>
            </w:tcMar>
          </w:tcPr>
          <w:p>
            <w:pPr>
              <w:spacing w:after="0"/>
            </w:pPr>
            <w:r>
              <w:rPr>
                <w:sz w:val="16"/>
              </w:rPr>
              <w:t>$5,000 per authorized completed case assignment</w:t>
            </w:r>
          </w:p>
        </w:tc>
      </w:tr>
      <w:tr>
        <w:trPr>
          <w:cantSplit/>
        </w:trPr>
        <w:tc>
          <w:tcPr>
            <w:tcW w:type="dxa" w:w="5040"/>
            <w:vAlign w:val="center"/>
            <w:tcMar>
              <w:top w:w="110" w:type="dxa"/>
              <w:start w:w="110" w:type="dxa"/>
              <w:bottom w:w="110" w:type="dxa"/>
              <w:end w:w="110" w:type="dxa"/>
            </w:tcMar>
          </w:tcPr>
          <w:p>
            <w:pPr>
              <w:spacing w:after="0"/>
            </w:pPr>
            <w:r>
              <w:rPr>
                <w:sz w:val="16"/>
              </w:rPr>
              <w:t>Civil Process Server assignment</w:t>
            </w:r>
          </w:p>
        </w:tc>
        <w:tc>
          <w:tcPr>
            <w:tcW w:type="dxa" w:w="5040"/>
            <w:vAlign w:val="center"/>
            <w:tcMar>
              <w:top w:w="110" w:type="dxa"/>
              <w:start w:w="110" w:type="dxa"/>
              <w:bottom w:w="110" w:type="dxa"/>
              <w:end w:w="110" w:type="dxa"/>
            </w:tcMar>
          </w:tcPr>
          <w:p>
            <w:pPr>
              <w:spacing w:after="0"/>
            </w:pPr>
            <w:r>
              <w:rPr>
                <w:sz w:val="16"/>
              </w:rPr>
              <w:t>$5,000 per authorized completed service assignment</w:t>
            </w:r>
          </w:p>
        </w:tc>
      </w:tr>
      <w:tr>
        <w:trPr>
          <w:cantSplit/>
        </w:trPr>
        <w:tc>
          <w:tcPr>
            <w:tcW w:type="dxa" w:w="5040"/>
            <w:vAlign w:val="center"/>
            <w:shd w:fill="F4F4F4"/>
            <w:tcMar>
              <w:top w:w="110" w:type="dxa"/>
              <w:start w:w="110" w:type="dxa"/>
              <w:bottom w:w="110" w:type="dxa"/>
              <w:end w:w="110" w:type="dxa"/>
            </w:tcMar>
          </w:tcPr>
          <w:p>
            <w:pPr>
              <w:spacing w:after="0"/>
            </w:pPr>
            <w:r>
              <w:rPr>
                <w:sz w:val="16"/>
              </w:rPr>
              <w:t>Attorney DOJ duty hours</w:t>
            </w:r>
          </w:p>
        </w:tc>
        <w:tc>
          <w:tcPr>
            <w:tcW w:type="dxa" w:w="5040"/>
            <w:vAlign w:val="center"/>
            <w:shd w:fill="F4F4F4"/>
            <w:tcMar>
              <w:top w:w="110" w:type="dxa"/>
              <w:start w:w="110" w:type="dxa"/>
              <w:bottom w:w="110" w:type="dxa"/>
              <w:end w:w="110" w:type="dxa"/>
            </w:tcMar>
          </w:tcPr>
          <w:p>
            <w:pPr>
              <w:spacing w:after="0"/>
            </w:pPr>
            <w:r>
              <w:rPr>
                <w:sz w:val="16"/>
              </w:rPr>
              <w:t>Tracked on the timesheet only; the DOJ pays its duty rate directly and Whatts Law does not pay that $200 hourly amount</w:t>
            </w:r>
          </w:p>
        </w:tc>
      </w:tr>
      <w:tr>
        <w:trPr>
          <w:cantSplit/>
        </w:trPr>
        <w:tc>
          <w:tcPr>
            <w:tcW w:type="dxa" w:w="5040"/>
            <w:vAlign w:val="center"/>
            <w:tcMar>
              <w:top w:w="110" w:type="dxa"/>
              <w:start w:w="110" w:type="dxa"/>
              <w:bottom w:w="110" w:type="dxa"/>
              <w:end w:w="110" w:type="dxa"/>
            </w:tcMar>
          </w:tcPr>
          <w:p>
            <w:pPr>
              <w:spacing w:after="0"/>
            </w:pPr>
            <w:r>
              <w:rPr>
                <w:sz w:val="16"/>
              </w:rPr>
              <w:t>Special or holiday bonus</w:t>
            </w:r>
          </w:p>
        </w:tc>
        <w:tc>
          <w:tcPr>
            <w:tcW w:type="dxa" w:w="5040"/>
            <w:vAlign w:val="center"/>
            <w:tcMar>
              <w:top w:w="110" w:type="dxa"/>
              <w:start w:w="110" w:type="dxa"/>
              <w:bottom w:w="110" w:type="dxa"/>
              <w:end w:w="110" w:type="dxa"/>
            </w:tcMar>
          </w:tcPr>
          <w:p>
            <w:pPr>
              <w:spacing w:after="0"/>
            </w:pPr>
            <w:r>
              <w:rPr>
                <w:sz w:val="16"/>
              </w:rPr>
              <w:t>Only when separately approved, itemized, and recorded</w:t>
            </w:r>
          </w:p>
        </w:tc>
      </w:tr>
    </w:tbl>
    <w:p>
      <w:pPr>
        <w:spacing w:after="20"/>
      </w:pPr>
    </w:p>
    <w:p>
      <w:r>
        <w:t>Each staff payment requires an employee, matter or assignment reference when applicable, amount, approval, status, date, and retained audit record. HR may prepare authorized payroll drafts but may not approve its own work or release funds. Posted or paid entries are corrected through linked reversals or adjusting entries, never silent deletion.</w:t>
      </w:r>
    </w:p>
    <w:p>
      <w:pPr>
        <w:pStyle w:val="Heading1"/>
      </w:pPr>
      <w:r>
        <w:t>Publishing and synchronization controls</w:t>
      </w:r>
    </w:p>
    <w:p>
      <w:pPr>
        <w:pStyle w:val="ListBullet"/>
      </w:pPr>
      <w:r>
        <w:t>The public Discord pricing channel shows the $75,000 regular representation retainer and keeps detailed prepaid eligibility within the controlled staff or consultation workflow.</w:t>
      </w:r>
    </w:p>
    <w:p>
      <w:pPr>
        <w:pStyle w:val="ListBullet"/>
      </w:pPr>
      <w:r>
        <w:t>The leadership pricing channel and website pricing workspace show the complete current schedule.</w:t>
      </w:r>
    </w:p>
    <w:p>
      <w:pPr>
        <w:pStyle w:val="ListBullet"/>
      </w:pPr>
      <w:r>
        <w:t>Durable Discord messages are edited in place so changes do not create duplicate notices.</w:t>
      </w:r>
    </w:p>
    <w:p>
      <w:pPr>
        <w:pStyle w:val="ListBullet"/>
      </w:pPr>
      <w:r>
        <w:t>Every website, Discord, Google Doc, DOCX, PDF, agreement generator, and accounting validation must use these same approved figures.</w:t>
      </w:r>
    </w:p>
    <w:p>
      <w:pPr>
        <w:pStyle w:val="ListBullet"/>
      </w:pPr>
      <w:r>
        <w:t>A future pricing change is effective only after deliberate approval and synchronized publication across the authoritative website and controlled documents.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Whatts Law Incorporated  |  Current approved pricing and compensation policy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ptos" w:hAnsi="Aptos"/>
      <w:color w:val="1E1E1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Aptos Display" w:hAnsi="Aptos Display"/>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