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400" w:after="200"/>
        <w:jc w:val="center"/>
      </w:pPr>
      <w:r>
        <w:rPr>
          <w:rFonts w:ascii="Play" w:hAnsi="Play"/>
          <w:b/>
          <w:color w:val="1F4E79"/>
          <w:sz w:val="56"/>
        </w:rPr>
        <w:t>WHATTS LAW</w:t>
      </w:r>
    </w:p>
    <w:p>
      <w:pPr>
        <w:spacing w:before="0" w:after="160"/>
        <w:jc w:val="center"/>
      </w:pPr>
      <w:r>
        <w:rPr>
          <w:rFonts w:ascii="Play" w:hAnsi="Play"/>
          <w:b/>
          <w:i w:val="0"/>
          <w:color w:val="000000"/>
          <w:sz w:val="40"/>
        </w:rPr>
        <w:t>DISCORD BOT OPERATIONS MANUAL</w:t>
      </w:r>
    </w:p>
    <w:p>
      <w:pPr>
        <w:spacing w:before="240"/>
        <w:jc w:val="center"/>
      </w:pPr>
      <w:r>
        <w:rPr>
          <w:rFonts w:ascii="Aptos" w:hAnsi="Aptos"/>
          <w:b w:val="0"/>
          <w:i w:val="0"/>
          <w:color w:val="595959"/>
          <w:sz w:val="22"/>
        </w:rPr>
        <w:t>Virtual Receptionist and Technical Support Assistant</w:t>
      </w:r>
    </w:p>
    <w:p>
      <w:pPr>
        <w:spacing w:before="560"/>
        <w:jc w:val="center"/>
      </w:pPr>
      <w:r>
        <w:rPr>
          <w:rFonts w:ascii="Aptos" w:hAnsi="Aptos"/>
          <w:b/>
          <w:i w:val="0"/>
          <w:color w:val="000000"/>
          <w:sz w:val="24"/>
        </w:rPr>
        <w:t>Owner and Managing Attorney: Rick Whatts</w:t>
        <w:br/>
        <w:t>Systems administration: Harmony Cole</w:t>
      </w:r>
    </w:p>
    <w:p>
      <w:pPr>
        <w:spacing w:before="480"/>
        <w:jc w:val="center"/>
      </w:pPr>
      <w:r>
        <w:rPr>
          <w:rFonts w:ascii="Aptos" w:hAnsi="Aptos"/>
          <w:b w:val="0"/>
          <w:i/>
          <w:color w:val="787878"/>
          <w:sz w:val="18"/>
        </w:rPr>
        <w:t>Internal Operations Manual | Immense RP</w:t>
      </w:r>
    </w:p>
    <w:p>
      <w:pPr>
        <w:spacing w:before="720"/>
        <w:jc w:val="left"/>
      </w:pPr>
      <w:r>
        <w:rPr>
          <w:rFonts w:ascii="Aptos" w:hAnsi="Aptos"/>
          <w:b/>
          <w:i w:val="0"/>
          <w:color w:val="1F4E79"/>
          <w:sz w:val="21"/>
        </w:rPr>
        <w:t>Purpose</w:t>
      </w:r>
    </w:p>
    <w:p>
      <w:pPr>
        <w:spacing w:before="480"/>
        <w:jc w:val="left"/>
      </w:pPr>
      <w:r>
        <w:rPr>
          <w:rFonts w:ascii="Aptos" w:hAnsi="Aptos"/>
          <w:b w:val="0"/>
          <w:i w:val="0"/>
          <w:color w:val="000000"/>
          <w:sz w:val="21"/>
        </w:rPr>
        <w:t>This manual explains how the two independent Whatts Law Discord applications support the website and D1 records under Rick's current governance direction. The website and D1 database remain authoritative. Discord roles, commands, titles, investment, labor, relationships, or technical permissions never create equity.</w:t>
      </w:r>
    </w:p>
    <w:p>
      <w:pPr>
        <w:pStyle w:val="Heading1"/>
        <w:jc w:val="center"/>
      </w:pPr>
      <w:r>
        <w:rPr>
          <w:rFonts w:ascii="Play" w:hAnsi="Play"/>
          <w:b/>
          <w:i w:val="0"/>
          <w:color w:val="1F4E79"/>
          <w:sz w:val="32"/>
        </w:rPr>
        <w:t>Governance states</w:t>
      </w:r>
    </w:p>
    <w:p>
      <w:pPr>
        <w:pStyle w:val="Heading2"/>
        <w:jc w:val="center"/>
      </w:pPr>
      <w:r>
        <w:rPr>
          <w:rFonts w:ascii="Play" w:hAnsi="Play"/>
          <w:b/>
          <w:i w:val="0"/>
          <w:color w:val="1F4E79"/>
          <w:sz w:val="26"/>
        </w:rPr>
        <w:t>Pre effective state</w:t>
      </w:r>
    </w:p>
    <w:p>
      <w:pPr>
        <w:jc w:val="left"/>
      </w:pPr>
      <w:r>
        <w:rPr>
          <w:rFonts w:ascii="Aptos" w:hAnsi="Aptos"/>
          <w:b w:val="0"/>
          <w:i w:val="0"/>
          <w:color w:val="000000"/>
          <w:sz w:val="21"/>
        </w:rPr>
        <w:t>Rick Whatts owns 100% of Whatts Law and exercises present Owner authority. Harmony Cole may serve as Technical Systems Administrator, but technical access does not create equity or Owner authority. The system must not present the future partnership as active.</w:t>
      </w:r>
    </w:p>
    <w:p>
      <w:pPr>
        <w:pStyle w:val="Heading2"/>
      </w:pPr>
      <w:r>
        <w:rPr>
          <w:rFonts w:ascii="Play" w:hAnsi="Play"/>
          <w:b/>
          <w:i w:val="0"/>
          <w:color w:val="1F4E79"/>
          <w:sz w:val="26"/>
        </w:rPr>
        <w:t>Active 50 50 state</w:t>
      </w:r>
    </w:p>
    <w:p>
      <w:pPr>
        <w:jc w:val="left"/>
      </w:pPr>
      <w:r>
        <w:rPr>
          <w:rFonts w:ascii="Aptos" w:hAnsi="Aptos"/>
          <w:b w:val="0"/>
          <w:i w:val="0"/>
          <w:color w:val="000000"/>
          <w:sz w:val="21"/>
        </w:rPr>
        <w:t>The intended post-transition state activates only on the later of execution of the Ownership &amp; Partnership Agreement by Rick and Harmony and Harmony's documented formal transition to Whatts Law. Rick then serves as Founder and Managing Partner with 50% equity, and Harmony serves as Founding Partner with 50% equity. Rick directs ordinary management and controls ordinary-management disagreements. Matters reserved for joint Owner action still require joint action.</w:t>
      </w:r>
    </w:p>
    <w:p>
      <w:pPr>
        <w:pStyle w:val="Heading1"/>
      </w:pPr>
      <w:r>
        <w:rPr>
          <w:rFonts w:ascii="Play" w:hAnsi="Play"/>
          <w:b/>
          <w:i w:val="0"/>
          <w:color w:val="1F4E79"/>
          <w:sz w:val="32"/>
        </w:rPr>
        <w:t>Virtual Receptionist</w:t>
      </w:r>
    </w:p>
    <w:p>
      <w:pPr>
        <w:jc w:val="left"/>
      </w:pPr>
      <w:r>
        <w:rPr>
          <w:rFonts w:ascii="Aptos" w:hAnsi="Aptos"/>
          <w:b w:val="0"/>
          <w:i w:val="0"/>
          <w:color w:val="000000"/>
          <w:sz w:val="21"/>
        </w:rPr>
        <w:t>The Virtual Receptionist collects guided requests, creates private workspaces, publishes approved notices, and mirrors sanitized status. It does not give legal advice, perform conflict checks, accept representation, set custom fees, or replace the authoritative matter record.</w:t>
      </w:r>
    </w:p>
    <w:tbl>
      <w:tblPr>
        <w:tblW w:type="auto" w:w="0"/>
        <w:jc w:val="center"/>
        <w:tblLayout w:type="fixed"/>
        <w:tblLook w:firstColumn="1" w:firstRow="1" w:lastColumn="0" w:lastRow="0" w:noHBand="0" w:noVBand="1" w:val="04A0"/>
        <w:tblBorders>
          <w:top w:val="single" w:sz="5" w:color="B7C9D6"/>
          <w:left w:val="single" w:sz="5" w:color="B7C9D6"/>
          <w:bottom w:val="single" w:sz="5" w:color="B7C9D6"/>
          <w:right w:val="single" w:sz="5" w:color="B7C9D6"/>
          <w:insideH w:val="single" w:sz="5" w:color="B7C9D6"/>
          <w:insideV w:val="single" w:sz="5" w:color="B7C9D6"/>
        </w:tblBorders>
      </w:tblPr>
      <w:tblGrid>
        <w:gridCol w:w="3331"/>
        <w:gridCol w:w="3331"/>
        <w:gridCol w:w="3331"/>
      </w:tblGrid>
      <w:tr>
        <w:trPr>
          <w:tblHeader w:val="true"/>
        </w:trPr>
        <w:tc>
          <w:tcPr>
            <w:tcW w:type="dxa" w:w="2232"/>
            <w:shd w:fill="1F4E79"/>
            <w:tcMar>
              <w:top w:w="90" w:type="dxa"/>
              <w:start w:w="110" w:type="dxa"/>
              <w:bottom w:w="90" w:type="dxa"/>
              <w:end w:w="110" w:type="dxa"/>
            </w:tcMar>
            <w:vAlign w:val="center"/>
          </w:tcPr>
          <w:p>
            <w:pPr>
              <w:spacing w:after="40"/>
            </w:pPr>
            <w:r>
              <w:rPr>
                <w:rFonts w:ascii="Aptos" w:hAnsi="Aptos"/>
                <w:b/>
                <w:i w:val="0"/>
                <w:color w:val="FFFFFF"/>
                <w:sz w:val="18"/>
              </w:rPr>
              <w:t>Command or surface</w:t>
            </w:r>
          </w:p>
        </w:tc>
        <w:tc>
          <w:tcPr>
            <w:tcW w:type="dxa" w:w="4608"/>
            <w:shd w:fill="1F4E79"/>
            <w:tcMar>
              <w:top w:w="90" w:type="dxa"/>
              <w:start w:w="110" w:type="dxa"/>
              <w:bottom w:w="90" w:type="dxa"/>
              <w:end w:w="110" w:type="dxa"/>
            </w:tcMar>
            <w:vAlign w:val="center"/>
          </w:tcPr>
          <w:p>
            <w:pPr>
              <w:spacing w:after="40"/>
            </w:pPr>
            <w:r>
              <w:rPr>
                <w:rFonts w:ascii="Aptos" w:hAnsi="Aptos"/>
                <w:b/>
                <w:i w:val="0"/>
                <w:color w:val="FFFFFF"/>
                <w:sz w:val="18"/>
              </w:rPr>
              <w:t>Purpose</w:t>
            </w:r>
          </w:p>
        </w:tc>
        <w:tc>
          <w:tcPr>
            <w:tcW w:type="dxa" w:w="2664"/>
            <w:shd w:fill="1F4E79"/>
            <w:tcMar>
              <w:top w:w="90" w:type="dxa"/>
              <w:start w:w="110" w:type="dxa"/>
              <w:bottom w:w="90" w:type="dxa"/>
              <w:end w:w="110" w:type="dxa"/>
            </w:tcMar>
            <w:vAlign w:val="center"/>
          </w:tcPr>
          <w:p>
            <w:pPr>
              <w:spacing w:after="40"/>
            </w:pPr>
            <w:r>
              <w:rPr>
                <w:rFonts w:ascii="Aptos" w:hAnsi="Aptos"/>
                <w:b/>
                <w:i w:val="0"/>
                <w:color w:val="FFFFFF"/>
                <w:sz w:val="18"/>
              </w:rPr>
              <w:t>Authority</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/governance status</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Privately display the authoritative governance state and recorded dates.</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/governance activate</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Record a completed transition and synchronize Harmony's website and Discord roles.</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Current Owner only; guarded</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/counsel-help</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Display the current private command guide.</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/claim</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Convert an unclaimed legal intake into a matter.</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Authorized intake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/firm and /lead</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Convert an intake with a selected lead or transfer matter leadership.</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legal management</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/firm-matter</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Create a linked private legal-team discussion.</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Assigned matter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/paralegal</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Request or coordinate scoped paralegal support.</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Assigned matter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/mentorship</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Create a private counsel and assigned-paralegal thread; refuse when no paralegal is assigned.</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Attorney-level matter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/pi assignment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Create a private counsel and assigned-investigator thread; refuse when no investigator is assigned.</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Attorney-level matter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/leadership</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Create a private Rick and Harmony discussion.</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Governance workflow</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/alert-counsel</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Send a private My Eyes Only counsel alert.</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legal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/case-links</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List linked matter, service, and mediation rooms.</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Assigned matter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/print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Create or refresh a durable printable document notice.</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matter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/qr</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Refresh the saved printable notice and QR attachment in place.</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Authorized matter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/close reason:</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Verify staff authority, capture the Discord transcript to private Whatts Law storage, verify it with a SHA-256 receipt, lock the archived channel read-only, then update the authoritative record and queue without creating duplicate closure records.</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workflow participant</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/add and /remove</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Manage scoped matter participants.</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Authorized matter management</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/process server</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Create and administer Process Service packets.</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Process Service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/mediation</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Create and administer mediation rooms.</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Authorized mediation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/staffing request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Request assignment support.</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Authorized matter staff</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/staffing assign</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Assign personnel and approved case pay.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Current Owner; either Owner after activation</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/hr applicant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Record an applicant decision.</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Current Owner; either Owner after activation</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/help</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Open a private technical-support ticket.</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Available command users</w:t>
            </w:r>
          </w:p>
        </w:tc>
      </w:tr>
    </w:tbl>
    <w:p>
      <w:pPr>
        <w:pStyle w:val="Heading1"/>
      </w:pPr>
      <w:r>
        <w:rPr>
          <w:rFonts w:ascii="Play" w:hAnsi="Play"/>
          <w:b/>
          <w:i w:val="0"/>
          <w:color w:val="1F4E79"/>
          <w:sz w:val="32"/>
        </w:rPr>
        <w:t>Guarded governance activation</w:t>
      </w:r>
    </w:p>
    <w:p>
      <w:pPr>
        <w:pStyle w:val="ListBullet"/>
      </w:pPr>
      <w:r>
        <w:t>Use activation only after both parties execute the ownership agreement and Harmony formally transitions to Whatts Law.</w:t>
      </w:r>
    </w:p>
    <w:p>
      <w:pPr>
        <w:pStyle w:val="ListBullet"/>
      </w:pPr>
      <w:r>
        <w:t>The command requires the execution date, transition date, Harmony's Discord account, and an explicit confirmation.</w:t>
      </w:r>
    </w:p>
    <w:p>
      <w:pPr>
        <w:pStyle w:val="ListBullet"/>
      </w:pPr>
      <w:r>
        <w:t>The later recorded date becomes the effective date.</w:t>
      </w:r>
    </w:p>
    <w:p>
      <w:pPr>
        <w:pStyle w:val="ListBullet"/>
      </w:pPr>
      <w:r>
        <w:t>D1 appends governance history and audit records; earlier records are not deleted or rewritten.</w:t>
      </w:r>
    </w:p>
    <w:p>
      <w:pPr>
        <w:pStyle w:val="ListBullet"/>
      </w:pPr>
      <w:r>
        <w:t>Harmony's website identity becomes Founding Partner with Owner authority, and Discord receives Owner and Founding Partner roles while Technical Support duties may remain.</w:t>
      </w:r>
    </w:p>
    <w:p>
      <w:pPr>
        <w:pStyle w:val="ListBullet"/>
      </w:pPr>
      <w:r>
        <w:t>If external Discord synchronization fails after D1 activation, the bot reports a reconciliation condition instead of hiding the authoritative D1 state.</w:t>
      </w:r>
    </w:p>
    <w:p>
      <w:pPr>
        <w:pStyle w:val="Heading1"/>
      </w:pPr>
      <w:r>
        <w:rPr>
          <w:rFonts w:ascii="Play" w:hAnsi="Play"/>
          <w:b/>
          <w:i w:val="0"/>
          <w:color w:val="1F4E79"/>
          <w:sz w:val="32"/>
        </w:rPr>
        <w:t>Technical Support Assistant</w:t>
      </w:r>
    </w:p>
    <w:p>
      <w:pPr>
        <w:jc w:val="left"/>
      </w:pPr>
      <w:r>
        <w:rPr>
          <w:rFonts w:ascii="Aptos" w:hAnsi="Aptos"/>
          <w:b w:val="0"/>
          <w:i w:val="0"/>
          <w:color w:val="000000"/>
          <w:sz w:val="21"/>
        </w:rPr>
        <w:t>The Technical Support Assistant manages configuration health, integration status, technical audits, and private support routing. It does not decide representation, fees, attorney assignments, discipline, ownership, succession, or other legal-management matters.</w:t>
      </w:r>
    </w:p>
    <w:tbl>
      <w:tblPr>
        <w:tblW w:type="auto" w:w="0"/>
        <w:jc w:val="center"/>
        <w:tblLayout w:type="fixed"/>
        <w:tblLook w:firstColumn="1" w:firstRow="1" w:lastColumn="0" w:lastRow="0" w:noHBand="0" w:noVBand="1" w:val="04A0"/>
        <w:tblBorders>
          <w:top w:val="single" w:sz="5" w:color="B7C9D6"/>
          <w:left w:val="single" w:sz="5" w:color="B7C9D6"/>
          <w:bottom w:val="single" w:sz="5" w:color="B7C9D6"/>
          <w:right w:val="single" w:sz="5" w:color="B7C9D6"/>
          <w:insideH w:val="single" w:sz="5" w:color="B7C9D6"/>
          <w:insideV w:val="single" w:sz="5" w:color="B7C9D6"/>
        </w:tblBorders>
      </w:tblPr>
      <w:tblGrid>
        <w:gridCol w:w="3331"/>
        <w:gridCol w:w="3331"/>
        <w:gridCol w:w="3331"/>
      </w:tblGrid>
      <w:tr>
        <w:trPr>
          <w:tblHeader w:val="true"/>
        </w:trPr>
        <w:tc>
          <w:tcPr>
            <w:tcW w:type="dxa" w:w="2232"/>
            <w:shd w:fill="1F4E79"/>
            <w:tcMar>
              <w:top w:w="90" w:type="dxa"/>
              <w:start w:w="110" w:type="dxa"/>
              <w:bottom w:w="90" w:type="dxa"/>
              <w:end w:w="110" w:type="dxa"/>
            </w:tcMar>
            <w:vAlign w:val="center"/>
          </w:tcPr>
          <w:p>
            <w:pPr>
              <w:spacing w:after="40"/>
            </w:pPr>
            <w:r>
              <w:rPr>
                <w:rFonts w:ascii="Aptos" w:hAnsi="Aptos"/>
                <w:b/>
                <w:i w:val="0"/>
                <w:color w:val="FFFFFF"/>
                <w:sz w:val="18"/>
              </w:rPr>
              <w:t>Command or surface</w:t>
            </w:r>
          </w:p>
        </w:tc>
        <w:tc>
          <w:tcPr>
            <w:tcW w:type="dxa" w:w="4608"/>
            <w:shd w:fill="1F4E79"/>
            <w:tcMar>
              <w:top w:w="90" w:type="dxa"/>
              <w:start w:w="110" w:type="dxa"/>
              <w:bottom w:w="90" w:type="dxa"/>
              <w:end w:w="110" w:type="dxa"/>
            </w:tcMar>
            <w:vAlign w:val="center"/>
          </w:tcPr>
          <w:p>
            <w:pPr>
              <w:spacing w:after="40"/>
            </w:pPr>
            <w:r>
              <w:rPr>
                <w:rFonts w:ascii="Aptos" w:hAnsi="Aptos"/>
                <w:b/>
                <w:i w:val="0"/>
                <w:color w:val="FFFFFF"/>
                <w:sz w:val="18"/>
              </w:rPr>
              <w:t>Purpose</w:t>
            </w:r>
          </w:p>
        </w:tc>
        <w:tc>
          <w:tcPr>
            <w:tcW w:type="dxa" w:w="2664"/>
            <w:shd w:fill="1F4E79"/>
            <w:tcMar>
              <w:top w:w="90" w:type="dxa"/>
              <w:start w:w="110" w:type="dxa"/>
              <w:bottom w:w="90" w:type="dxa"/>
              <w:end w:w="110" w:type="dxa"/>
            </w:tcMar>
            <w:vAlign w:val="center"/>
          </w:tcPr>
          <w:p>
            <w:pPr>
              <w:spacing w:after="40"/>
            </w:pPr>
            <w:r>
              <w:rPr>
                <w:rFonts w:ascii="Aptos" w:hAnsi="Aptos"/>
                <w:b/>
                <w:i w:val="0"/>
                <w:color w:val="FFFFFF"/>
                <w:sz w:val="18"/>
              </w:rPr>
              <w:t>Authority</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/help</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Open a guided private support ticket under Harmony's technical workspace.</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Any permitted requester</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/governance status</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Read the D1 governance state without changing it.</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Authorized staff</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/governance activate</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Apply a completed transition across D1, website identity, and Discord roles.</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Current Owner only; guarded</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Discord setup endpoint</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Create or reconcile managed roles, categories, channels, and commands idempotently.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Internal setup secret</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Runtime sync endpoint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Refresh durable guides, calendars, and notices in place.</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Internal setup secret</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Website governance endpoint</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Return the current governance summary to a signed-in user.</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Authenticated website user</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Website activation endpoint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Record a completed transition through Administration.</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Current Owner only; guarded</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Firm Admin preview</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View the exact website shown to an employee or client while preserving the acting administrator in audit history.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Rick and Harmony Technical Support</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Employee role assignment</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Update website position, revoke sessions, append audit history, and synchronize linked Discord roles.</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Rick or active Owner</w:t>
            </w:r>
          </w:p>
        </w:tc>
      </w:tr>
    </w:tbl>
    <w:p>
      <w:pPr>
        <w:pStyle w:val="Heading1"/>
      </w:pPr>
      <w:r>
        <w:rPr>
          <w:rFonts w:ascii="Play" w:hAnsi="Play"/>
          <w:b/>
          <w:i w:val="0"/>
          <w:color w:val="1F4E79"/>
          <w:sz w:val="32"/>
        </w:rPr>
        <w:t>Website and Discord role alignment</w:t>
      </w:r>
    </w:p>
    <w:tbl>
      <w:tblPr>
        <w:tblW w:type="auto" w:w="0"/>
        <w:jc w:val="center"/>
        <w:tblLayout w:type="fixed"/>
        <w:tblLook w:firstColumn="1" w:firstRow="1" w:lastColumn="0" w:lastRow="0" w:noHBand="0" w:noVBand="1" w:val="04A0"/>
        <w:tblBorders>
          <w:top w:val="single" w:sz="5" w:color="B7C9D6"/>
          <w:left w:val="single" w:sz="5" w:color="B7C9D6"/>
          <w:bottom w:val="single" w:sz="5" w:color="B7C9D6"/>
          <w:right w:val="single" w:sz="5" w:color="B7C9D6"/>
          <w:insideH w:val="single" w:sz="5" w:color="B7C9D6"/>
          <w:insideV w:val="single" w:sz="5" w:color="B7C9D6"/>
        </w:tblBorders>
      </w:tblPr>
      <w:tblGrid>
        <w:gridCol w:w="3331"/>
        <w:gridCol w:w="3331"/>
        <w:gridCol w:w="3331"/>
      </w:tblGrid>
      <w:tr>
        <w:trPr>
          <w:tblHeader w:val="true"/>
        </w:trPr>
        <w:tc>
          <w:tcPr>
            <w:tcW w:type="dxa" w:w="2232"/>
            <w:shd w:fill="1F4E79"/>
            <w:tcMar>
              <w:top w:w="90" w:type="dxa"/>
              <w:start w:w="110" w:type="dxa"/>
              <w:bottom w:w="90" w:type="dxa"/>
              <w:end w:w="110" w:type="dxa"/>
            </w:tcMar>
            <w:vAlign w:val="center"/>
          </w:tcPr>
          <w:p>
            <w:pPr>
              <w:spacing w:after="40"/>
            </w:pPr>
            <w:r>
              <w:rPr>
                <w:rFonts w:ascii="Aptos" w:hAnsi="Aptos"/>
                <w:b/>
                <w:i w:val="0"/>
                <w:color w:val="FFFFFF"/>
                <w:sz w:val="18"/>
              </w:rPr>
              <w:t>Command or surface</w:t>
            </w:r>
          </w:p>
        </w:tc>
        <w:tc>
          <w:tcPr>
            <w:tcW w:type="dxa" w:w="4608"/>
            <w:shd w:fill="1F4E79"/>
            <w:tcMar>
              <w:top w:w="90" w:type="dxa"/>
              <w:start w:w="110" w:type="dxa"/>
              <w:bottom w:w="90" w:type="dxa"/>
              <w:end w:w="110" w:type="dxa"/>
            </w:tcMar>
            <w:vAlign w:val="center"/>
          </w:tcPr>
          <w:p>
            <w:pPr>
              <w:spacing w:after="40"/>
            </w:pPr>
            <w:r>
              <w:rPr>
                <w:rFonts w:ascii="Aptos" w:hAnsi="Aptos"/>
                <w:b/>
                <w:i w:val="0"/>
                <w:color w:val="FFFFFF"/>
                <w:sz w:val="18"/>
              </w:rPr>
              <w:t>Purpose</w:t>
            </w:r>
          </w:p>
        </w:tc>
        <w:tc>
          <w:tcPr>
            <w:tcW w:type="dxa" w:w="2664"/>
            <w:shd w:fill="1F4E79"/>
            <w:tcMar>
              <w:top w:w="90" w:type="dxa"/>
              <w:start w:w="110" w:type="dxa"/>
              <w:bottom w:w="90" w:type="dxa"/>
              <w:end w:w="110" w:type="dxa"/>
            </w:tcMar>
            <w:vAlign w:val="center"/>
          </w:tcPr>
          <w:p>
            <w:pPr>
              <w:spacing w:after="40"/>
            </w:pPr>
            <w:r>
              <w:rPr>
                <w:rFonts w:ascii="Aptos" w:hAnsi="Aptos"/>
                <w:b/>
                <w:i w:val="0"/>
                <w:color w:val="FFFFFF"/>
                <w:sz w:val="18"/>
              </w:rPr>
              <w:t>Authority</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Technical Systems Administrator</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Firmwide troubleshooting, every intake and matter, Firm Admin preview, and system administration.</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Discord Technical Support</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Non Equity Partner</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Non-owner attorney management below the Owners.</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Discord Non-Equity Partner</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Principal Attorney</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Senior attorney leadership within the attorney chain.</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Discord Principal Attorney</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Senior Associate</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Senior assigned legal work without firmwide ownership authority.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Discord Senior Associate</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Associate Attorney</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Assigned legal work and authorized intake review.</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Discord Associate Attorney</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Paralegal</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Assigned matters and delegated intake work only.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Discord Paralegal</w:t>
            </w:r>
          </w:p>
        </w:tc>
      </w:tr>
      <w:tr>
        <w:tc>
          <w:tcPr>
            <w:tcW w:type="dxa" w:w="2232"/>
            <w:tcMar>
              <w:top w:w="90" w:type="dxa"/>
              <w:start w:w="110" w:type="dxa"/>
              <w:bottom w:w="90" w:type="dxa"/>
              <w:end w:w="110" w:type="dxa"/>
            </w:tcMar>
            <w:vAlign w:val="center"/>
          </w:tcPr>
          <w:p>
            <w:pPr>
              <w:spacing w:after="40"/>
            </w:pPr>
            <w:r>
              <w:rPr>
                <w:rFonts w:ascii="Aptos" w:hAnsi="Aptos"/>
                <w:b w:val="0"/>
                <w:i w:val="0"/>
                <w:color w:val="000000"/>
                <w:sz w:val="18"/>
              </w:rPr>
              <w:t>Private Investigator</w:t>
            </w:r>
          </w:p>
        </w:tc>
        <w:tc>
          <w:tcPr>
            <w:tcW w:type="dxa" w:w="4608"/>
            <w:tcMar>
              <w:top w:w="90" w:type="dxa"/>
              <w:start w:w="110" w:type="dxa"/>
              <w:bottom w:w="90" w:type="dxa"/>
              <w:end w:w="110" w:type="dxa"/>
            </w:tcMar>
            <w:vAlign w:val="center"/>
          </w:tcPr>
          <w:p>
            <w:pPr>
              <w:spacing w:after="40"/>
            </w:pPr>
            <w:r>
              <w:rPr>
                <w:rFonts w:ascii="Aptos" w:hAnsi="Aptos"/>
                <w:b w:val="0"/>
                <w:i w:val="0"/>
                <w:color w:val="000000"/>
                <w:sz w:val="18"/>
              </w:rPr>
              <w:t>Assigned investigations only.</w:t>
            </w:r>
          </w:p>
        </w:tc>
        <w:tc>
          <w:tcPr>
            <w:tcW w:type="dxa" w:w="2664"/>
            <w:tcMar>
              <w:top w:w="90" w:type="dxa"/>
              <w:start w:w="110" w:type="dxa"/>
              <w:bottom w:w="90" w:type="dxa"/>
              <w:end w:w="110" w:type="dxa"/>
            </w:tcMar>
            <w:vAlign w:val="center"/>
          </w:tcPr>
          <w:p>
            <w:pPr>
              <w:spacing w:after="40"/>
            </w:pPr>
            <w:r>
              <w:rPr>
                <w:rFonts w:ascii="Aptos" w:hAnsi="Aptos"/>
                <w:b w:val="0"/>
                <w:i w:val="0"/>
                <w:color w:val="000000"/>
                <w:sz w:val="18"/>
              </w:rPr>
              <w:t>Discord Private Investigator</w:t>
            </w:r>
          </w:p>
        </w:tc>
      </w:tr>
      <w:tr>
        <w:tc>
          <w:tcPr>
            <w:tcW w:type="dxa" w:w="2232"/>
            <w:tcMar>
              <w:top w:w="90" w:type="dxa"/>
              <w:start w:w="110" w:type="dxa"/>
              <w:bottom w:w="90" w:type="dxa"/>
              <w:end w:w="110" w:type="dxa"/>
            </w:tcMar>
            <w:vAlign w:val="center"/>
            <w:shd w:fill="F2F2F2"/>
          </w:tcPr>
          <w:p>
            <w:pPr>
              <w:spacing w:after="40"/>
            </w:pPr>
            <w:r>
              <w:rPr>
                <w:rFonts w:ascii="Aptos" w:hAnsi="Aptos"/>
                <w:b w:val="0"/>
                <w:i w:val="0"/>
                <w:color w:val="000000"/>
                <w:sz w:val="18"/>
              </w:rPr>
              <w:t>Civil Process Server</w:t>
            </w:r>
          </w:p>
        </w:tc>
        <w:tc>
          <w:tcPr>
            <w:tcW w:type="dxa" w:w="4608"/>
            <w:tcMar>
              <w:top w:w="90" w:type="dxa"/>
              <w:start w:w="110" w:type="dxa"/>
              <w:bottom w:w="90" w:type="dxa"/>
              <w:end w:w="110" w:type="dxa"/>
            </w:tcMar>
            <w:vAlign w:val="center"/>
            <w:shd w:fill="F2F2F2"/>
          </w:tcPr>
          <w:p>
            <w:pPr>
              <w:spacing w:after="40"/>
            </w:pPr>
            <w:r>
              <w:rPr>
                <w:rFonts w:ascii="Aptos" w:hAnsi="Aptos"/>
                <w:b w:val="0"/>
                <w:i w:val="0"/>
                <w:color w:val="000000"/>
                <w:sz w:val="18"/>
              </w:rPr>
              <w:t>Assigned service packets only.</w:t>
            </w:r>
          </w:p>
        </w:tc>
        <w:tc>
          <w:tcPr>
            <w:tcW w:type="dxa" w:w="2664"/>
            <w:tcMar>
              <w:top w:w="90" w:type="dxa"/>
              <w:start w:w="110" w:type="dxa"/>
              <w:bottom w:w="90" w:type="dxa"/>
              <w:end w:w="110" w:type="dxa"/>
            </w:tcMar>
            <w:vAlign w:val="center"/>
            <w:shd w:fill="F2F2F2"/>
          </w:tcPr>
          <w:p>
            <w:pPr>
              <w:spacing w:after="40"/>
            </w:pPr>
            <w:r>
              <w:rPr>
                <w:rFonts w:ascii="Aptos" w:hAnsi="Aptos"/>
                <w:b w:val="0"/>
                <w:i w:val="0"/>
                <w:color w:val="000000"/>
                <w:sz w:val="18"/>
              </w:rPr>
              <w:t>Discord Civil Process Server</w:t>
            </w:r>
          </w:p>
        </w:tc>
      </w:tr>
    </w:tbl>
    <w:p>
      <w:pPr>
        <w:pStyle w:val="Heading1"/>
      </w:pPr>
      <w:r>
        <w:rPr>
          <w:rFonts w:ascii="Play" w:hAnsi="Play"/>
          <w:b/>
          <w:i w:val="0"/>
          <w:color w:val="1F4E79"/>
          <w:sz w:val="32"/>
        </w:rPr>
        <w:t>Durable messages and data boundaries</w:t>
      </w:r>
    </w:p>
    <w:p>
      <w:pPr>
        <w:pStyle w:val="ListBullet"/>
      </w:pPr>
      <w:r>
        <w:t>Client Agreement, Process Service, mediation, and document notices use one saved message per agreement, packet, room, or document.</w:t>
      </w:r>
    </w:p>
    <w:p>
      <w:pPr>
        <w:pStyle w:val="ListBullet"/>
      </w:pPr>
      <w:r>
        <w:t>Synchronization and QR refresh edit the saved message and attachment in place and must not create duplicates.</w:t>
      </w:r>
    </w:p>
    <w:p>
      <w:pPr>
        <w:pStyle w:val="ListBullet"/>
      </w:pPr>
      <w:r>
        <w:t>Discord supports guided interaction and approved mirrors; it is not permanent case or document storage.</w:t>
      </w:r>
    </w:p>
    <w:p>
      <w:pPr>
        <w:pStyle w:val="ListBullet"/>
      </w:pPr>
      <w:r>
        <w:t>Shared calendar output uses neutral labels and never exposes client names, matter titles, case numbers, or appointment reasons.</w:t>
      </w:r>
    </w:p>
    <w:p>
      <w:pPr>
        <w:pStyle w:val="ListBullet"/>
      </w:pPr>
      <w:r>
        <w:t>Technical support tickets route only to Harmony's private technical workspace and the Technical Support role unless the Owner deliberately changes that policy.</w:t>
      </w:r>
    </w:p>
    <w:p>
      <w:pPr>
        <w:pStyle w:val="ListBullet"/>
      </w:pPr>
      <w:r>
        <w:t>Harmony's Technical Support account may inspect every website intake, matter, and employee view for legitimate troubleshooting; the action remains auditable and does not create ownership.</w:t>
      </w:r>
    </w:p>
    <w:p>
      <w:pPr>
        <w:pStyle w:val="ListBullet"/>
      </w:pPr>
      <w:r>
        <w:t>Do not create or retain a generic Private Attorney role. Attorney permissions use the exact Non-Equity Partner, Principal Attorney, Senior Associate, or Associate Attorney role assigned by Rick.</w:t>
      </w:r>
    </w:p>
    <w:p>
      <w:pPr>
        <w:pStyle w:val="ListBullet"/>
      </w:pPr>
      <w:r>
        <w:t>The Leadership routing role includes Rick, Harmony, and the HR Manager for policy, staffing, and HR review. It does not create ownership or legal authority.</w:t>
      </w:r>
    </w:p>
    <w:p>
      <w:pPr>
        <w:pStyle w:val="ListBullet"/>
      </w:pPr>
      <w:r>
        <w:t>Successful /firm-matter, /mentorship, and /pi assignment workflows publish or refresh one sanitized durable badge with a direct thread link in the corresponding staff coordination channel.</w:t>
      </w:r>
    </w:p>
    <w:p>
      <w:pPr>
        <w:pStyle w:val="ListBullet"/>
      </w:pPr>
      <w:r>
        <w:t>Every active employee receives a private employee category and timesheet channel visible only to that employee, Rick, Harmony, and the HR Manager. Weekly DOJ-hour proof and matching hours are due by 11:59 PM Eastern Time Sunday. Late or missing submissions are not eligible for that week's hours bonus check.</w:t>
      </w:r>
    </w:p>
    <w:p>
      <w:pPr>
        <w:pStyle w:val="ListBullet"/>
      </w:pPr>
      <w:r>
        <w:t>Attorney hours bonuses use a manually entered approved hourly rate. Paralegal case payouts are set from $2,000 to $5,000 per assigned matter. Private Investigator and Civil Process Server payouts are $5,000 per assigned case or service. Weekly HR, holiday, Christmas, and extra bonuses require specific approval and are recorded separately.</w:t>
      </w:r>
    </w:p>
    <w:p>
      <w:pPr>
        <w:pStyle w:val="ListBullet"/>
      </w:pPr>
      <w:r>
        <w:t>The private IBAN modal encrypts the submitted value and exposes only a last-four mask. Discord chat never contains the full value. A saved IBAN is a payment-routing record, not proof that a transfer occurred.</w:t>
      </w:r>
    </w:p>
    <w:p>
      <w:pPr>
        <w:pStyle w:val="ListBullet"/>
      </w:pPr>
      <w:r>
        <w:t>Marking an approved payroll entry paid posts an itemized private receipt to the employee timesheet channel. The website payroll register remains the authoritative payment record.</w:t>
      </w:r>
    </w:p>
    <w:p>
      <w:pPr>
        <w:pStyle w:val="ListBullet"/>
      </w:pPr>
      <w:r>
        <w:t>The Human Resources badge permits Rick, Harmony, or the HR Manager to create an audited private employee meeting channel with the selected employee and specifically selected authorized participants.</w:t>
      </w:r>
    </w:p>
    <w:p>
      <w:pPr>
        <w:pStyle w:val="ListBullet"/>
      </w:pPr>
      <w:r>
        <w:t>Website calendar entries store exact start and end times, optional matter links, visibility, and invited staff. Shared cells remain neutral. Invited-only details are restricted to authorized viewers, and private employee tasks are visible only to the creator, Rick, and Harmony's Technical Support account.</w:t>
      </w:r>
    </w:p>
    <w:p>
      <w:pPr>
        <w:pStyle w:val="Heading1"/>
      </w:pPr>
      <w:r>
        <w:rPr>
          <w:rFonts w:ascii="Play" w:hAnsi="Play"/>
          <w:b/>
          <w:i w:val="0"/>
          <w:color w:val="1F4E79"/>
          <w:sz w:val="32"/>
        </w:rPr>
        <w:t>Operational checklist</w:t>
      </w:r>
    </w:p>
    <w:p>
      <w:pPr>
        <w:pStyle w:val="ListBullet"/>
      </w:pPr>
      <w:r>
        <w:t>Confirm D1 migrations are applied before registering the updated commands and employee-role map.</w:t>
      </w:r>
    </w:p>
    <w:p>
      <w:pPr>
        <w:pStyle w:val="ListBullet"/>
      </w:pPr>
      <w:r>
        <w:t>Run Discord setup to reconcile the Founding Partner display role and command definitions.</w:t>
      </w:r>
    </w:p>
    <w:p>
      <w:pPr>
        <w:pStyle w:val="ListBullet"/>
      </w:pPr>
      <w:r>
        <w:t>Run runtime synchronization so Staff Training receives the governance-state guide and current command list.</w:t>
      </w:r>
    </w:p>
    <w:p>
      <w:pPr>
        <w:pStyle w:val="ListBullet"/>
      </w:pPr>
      <w:r>
        <w:t>Use /governance status and confirm PRE-EFFECTIVE until both activation conditions are documented.</w:t>
      </w:r>
    </w:p>
    <w:p>
      <w:pPr>
        <w:pStyle w:val="ListBullet"/>
      </w:pPr>
      <w:r>
        <w:t>Do not run /governance activate as a test in production.</w:t>
      </w:r>
    </w:p>
    <w:p>
      <w:pPr>
        <w:pStyle w:val="ListBullet"/>
      </w:pPr>
      <w:r>
        <w:t>After authorized activation, verify D1 state, Harmony's website title and role, Discord Owner and Founding Partner roles, retained Technical Support duties, and the audit entries.</w:t>
      </w:r>
    </w:p>
    <w:p>
      <w:pPr>
        <w:pStyle w:val="ListBullet"/>
      </w:pPr>
      <w:r>
        <w:t>When Rick assigns an employee position, verify the website title, revoked prior session, audit entry, and linked Discord roles match the role-alignment table.</w:t>
      </w:r>
    </w:p>
    <w:p>
      <w:pPr>
        <w:pStyle w:val="ListBullet"/>
      </w:pPr>
      <w:r>
        <w:t>Provision or reconcile employee payroll spaces, verify each private timesheet badge and button, and confirm the Human Resources private-meeting control edits its durable message in place.</w:t>
      </w:r>
    </w:p>
    <w:p>
      <w:pPr>
        <w:pStyle w:val="Heading1"/>
      </w:pPr>
      <w:r>
        <w:rPr>
          <w:rFonts w:ascii="Play" w:hAnsi="Play"/>
          <w:b/>
          <w:i w:val="0"/>
          <w:color w:val="1F4E79"/>
          <w:sz w:val="32"/>
        </w:rPr>
        <w:t>Verified transcript retention</w:t>
      </w:r>
    </w:p>
    <w:p>
      <w:pPr>
        <w:jc w:val="left"/>
      </w:pPr>
      <w:r>
        <w:rPr>
          <w:rFonts w:ascii="Aptos" w:hAnsi="Aptos"/>
          <w:b w:val="0"/>
          <w:i w:val="0"/>
          <w:color w:val="000000"/>
          <w:sz w:val="21"/>
        </w:rPr>
        <w:t>Every closed private intake, matter, Process Service packet, Mediation room, HR record, and support ticket must retain a verified transcript. The staff-only, idempotent close workflow captures Discord messages and attachment metadata to private Whatts Law object storage, stores transcript metadata and a SHA-256 digest in D1, posts a verification receipt to transcript records, posts the closure record to closed matters, and posts the actor and action to the audit log, locks the archived room against client access, and only then marks the authoritative record closed. A capture or verification failure leaves the record open for retry. Website reopen restores the linked active room where available.</w:t>
      </w:r>
    </w:p>
    <w:p>
      <w:pPr>
        <w:pStyle w:val="Heading1"/>
      </w:pPr>
      <w:r>
        <w:rPr>
          <w:rFonts w:ascii="Play" w:hAnsi="Play"/>
          <w:b/>
          <w:i w:val="0"/>
          <w:color w:val="1F4E79"/>
          <w:sz w:val="32"/>
        </w:rPr>
        <w:t>Google Drive administration and employee training</w:t>
      </w:r>
    </w:p>
    <w:p>
      <w:pPr>
        <w:jc w:val="left"/>
      </w:pPr>
      <w:r>
        <w:rPr>
          <w:rFonts w:ascii="Aptos" w:hAnsi="Aptos"/>
          <w:b w:val="0"/>
          <w:i w:val="0"/>
          <w:color w:val="000000"/>
          <w:sz w:val="21"/>
        </w:rPr>
        <w:t>Each employee completes the Google Drive lesson and may authorize a least-privilege OAuth connection beside the module completion control. Rick or Harmony selects WHATTS Law Managed Case Files as the single managed root. Employees then create or open folders only from assigned matter workspaces. The website reuses the saved matter-folder link and never treats a shared root as permission to view unassigned matters. Administration controls OAuth changes; My Settings shows employees their connection status, assigned-folder count, and notification preferences.</w:t>
      </w:r>
    </w:p>
    <w:p>
      <w:pPr>
        <w:pStyle w:val="Heading1"/>
      </w:pPr>
      <w:r>
        <w:rPr>
          <w:rFonts w:ascii="Play" w:hAnsi="Play"/>
          <w:b/>
          <w:i w:val="0"/>
          <w:color w:val="1F4E79"/>
          <w:sz w:val="32"/>
        </w:rPr>
        <w:t>Private case collaboration threads</w:t>
      </w:r>
    </w:p>
    <w:p>
      <w:pPr>
        <w:jc w:val="left"/>
      </w:pPr>
      <w:r>
        <w:rPr>
          <w:rFonts w:ascii="Aptos" w:hAnsi="Aptos"/>
          <w:b w:val="0"/>
          <w:i w:val="0"/>
          <w:color w:val="000000"/>
          <w:sz w:val="21"/>
        </w:rPr>
        <w:t>Attorney-level assigned matter staff may use /firm-matter for all assigned staff, /mentorship for assigned paralegals, and /pi assignment for assigned investigators. Mentorship and investigator assignment refuse to create a thread when the required support role is not assigned. Each successful workflow creates a private thread and publishes or refreshes one sanitized durable badge with a direct link in the matching staff coordination channel. The thread does not change website assignment, matter authority, or client visibility.</w:t>
      </w:r>
    </w:p>
    <w:p>
      <w:pPr>
        <w:pStyle w:val="Heading1"/>
      </w:pPr>
      <w:r>
        <w:rPr>
          <w:rFonts w:ascii="Play" w:hAnsi="Play"/>
          <w:b/>
          <w:i w:val="0"/>
          <w:color w:val="1F4E79"/>
          <w:sz w:val="32"/>
        </w:rPr>
        <w:t>Leadership policy review</w:t>
      </w:r>
    </w:p>
    <w:p>
      <w:pPr>
        <w:jc w:val="left"/>
      </w:pPr>
      <w:r>
        <w:rPr>
          <w:rFonts w:ascii="Aptos" w:hAnsi="Aptos"/>
          <w:b w:val="0"/>
          <w:i w:val="0"/>
          <w:color w:val="000000"/>
          <w:sz w:val="21"/>
        </w:rPr>
        <w:t>The Leadership routing role includes Rick, Harmony, and the HR Manager for policy, staffing, and HR review without creating equity or legal authority. Policy approvals retains durable Google Doc badges for the Staff Role Handbooks, Staff Policies and Operations packet, Discord Bot Operations Manual, Firm Governance and Operations Policy Version 1.2 Corrected, and the clearly labeled draft Ownership and Partnership Agreement. Review publication never activates the future 50/50 ownership state.</w:t>
      </w:r>
    </w:p>
    <w:p>
      <w:pPr>
        <w:pStyle w:val="Heading1"/>
      </w:pPr>
      <w:r>
        <w:rPr>
          <w:rFonts w:ascii="Play" w:hAnsi="Play"/>
          <w:b/>
          <w:i w:val="0"/>
          <w:color w:val="1F4E79"/>
          <w:sz w:val="32"/>
        </w:rPr>
        <w:t>Client portals group records and private billing</w:t>
      </w:r>
    </w:p>
    <w:p>
      <w:pPr>
        <w:jc w:val="left"/>
      </w:pPr>
      <w:r>
        <w:rPr>
          <w:rFonts w:ascii="Aptos" w:hAnsi="Aptos"/>
          <w:b w:val="0"/>
          <w:i w:val="0"/>
          <w:color w:val="000000"/>
          <w:sz w:val="21"/>
        </w:rPr>
        <w:t>The website client portal shows each client only linked matters, deliberately released stage content, secure messages, neutral calendar information, approved next steps, and balances. Group membership and group retainer records never expose another member’s private matter, messages, documents, or ledger. Authorized staff may post the secure portal link in the linked private matter channel or resend account information by verified direct message, but never send a passcode. Payments, balances, bills, and ledger questions use the private Front Desk client-accounting route; Discord coordinates the request while the website ledger remains authoritative.</w:t>
      </w:r>
    </w:p>
    <w:p>
      <w:pPr>
        <w:pStyle w:val="Heading1"/>
      </w:pPr>
      <w:r>
        <w:rPr>
          <w:rFonts w:ascii="Play" w:hAnsi="Play"/>
          <w:b/>
          <w:i w:val="0"/>
          <w:color w:val="1F4E79"/>
          <w:sz w:val="32"/>
        </w:rPr>
        <w:t>Accounting posting transfer and reconciliation controls</w:t>
      </w:r>
    </w:p>
    <w:p>
      <w:pPr>
        <w:jc w:val="left"/>
      </w:pPr>
      <w:r>
        <w:rPr>
          <w:rFonts w:ascii="Aptos" w:hAnsi="Aptos"/>
          <w:b w:val="0"/>
          <w:i w:val="0"/>
          <w:color w:val="000000"/>
          <w:sz w:val="21"/>
        </w:rPr>
        <w:t>Client-payment allocations must equal the full payment. Restricted escrow and retainer funds remain separate from operating cash. Posted entries are corrected through linked reversal or adjustment rather than deletion. A cross-account movement creates linked source and destination records and remains pending until Rick or Harmony records reconciliation. HR prepares only authorized payroll and payable drafts; attorneys remain limited to assigned client and matter ledgers. Discord never carries bank numbers, balances, or transaction detail.</w:t>
      </w:r>
    </w:p>
    <w:p>
      <w:pPr>
        <w:pStyle w:val="Heading1"/>
      </w:pPr>
      <w:r>
        <w:rPr>
          <w:rFonts w:ascii="Play" w:hAnsi="Play"/>
          <w:b/>
          <w:i w:val="0"/>
          <w:color w:val="1F4E79"/>
          <w:sz w:val="32"/>
        </w:rPr>
        <w:t>Recorded training attempts and management review</w:t>
      </w:r>
    </w:p>
    <w:p>
      <w:pPr>
        <w:jc w:val="left"/>
      </w:pPr>
      <w:r>
        <w:rPr>
          <w:rFonts w:ascii="Aptos" w:hAnsi="Aptos"/>
          <w:b w:val="0"/>
          <w:i w:val="0"/>
          <w:color w:val="000000"/>
          <w:sz w:val="21"/>
        </w:rPr>
        <w:t>Ordinary employees see only the handbook and curriculum assigned to their recorded role. Rick, Harmony, and the HR Manager may review every role track and assign continuing education without changing their acting role. Opening a lesson does not mark completion. Role Readiness and assigned Bar Exam submissions store the selected questions, score, question-level review, time, and related assignment. A retake requires confirmation and creates a new attempt instead of replacing the prior result. Completion never expands access or authority.</w:t>
      </w:r>
    </w:p>
    <w:p>
      <w:pPr>
        <w:pStyle w:val="Heading1"/>
      </w:pPr>
      <w:r>
        <w:rPr>
          <w:rFonts w:ascii="Play" w:hAnsi="Play"/>
          <w:b/>
          <w:i w:val="0"/>
          <w:color w:val="1F4E79"/>
          <w:sz w:val="32"/>
        </w:rPr>
        <w:t>Individual account and recovery controls</w:t>
      </w:r>
    </w:p>
    <w:p>
      <w:pPr>
        <w:jc w:val="left"/>
      </w:pPr>
      <w:r>
        <w:rPr>
          <w:rFonts w:ascii="Aptos" w:hAnsi="Aptos"/>
          <w:b w:val="0"/>
          <w:i w:val="0"/>
          <w:color w:val="000000"/>
          <w:sz w:val="21"/>
        </w:rPr>
        <w:t>Every employee and client uses a named account. A temporary passcode forces first-login passcode confirmation and security-question setup. An audited reset revokes existing sessions; Passcode Only preserves the security question, while Full Security Reset replaces it. One-time credentials and security answers are delivered privately and never posted in a staff channel, matter record, client portal, or public message.</w:t>
      </w:r>
    </w:p>
    <w:p>
      <w:pPr>
        <w:pStyle w:val="Heading1"/>
      </w:pPr>
      <w:r>
        <w:rPr>
          <w:rFonts w:ascii="Play" w:hAnsi="Play"/>
          <w:b/>
          <w:i w:val="0"/>
          <w:color w:val="1F4E79"/>
          <w:sz w:val="32"/>
        </w:rPr>
        <w:t>Discord and website health verification</w:t>
      </w:r>
    </w:p>
    <w:p>
      <w:pPr>
        <w:jc w:val="left"/>
      </w:pPr>
      <w:r>
        <w:rPr>
          <w:rFonts w:ascii="Aptos" w:hAnsi="Aptos"/>
          <w:b w:val="0"/>
          <w:i w:val="0"/>
          <w:color w:val="000000"/>
          <w:sz w:val="21"/>
        </w:rPr>
        <w:t>The Administration Discord health view performs a live protected check of the Virtual Receptionist and Technical Support Assistant, confirms they use separate Discord identities, verifies managed-guild access, compares the D1 command registry with the Worker command contract, and reports role, category, and channel map coverage without exposing credentials. After any website, command, role, channel, or policy publication change, Technical Support runs the idempotent Discord reconciliation, confirms the health view is ready, and tests one non-production workflow from creation through authoritative D1 record, Discord update, and close.</w:t>
      </w:r>
    </w:p>
    <w:p>
      <w:pPr>
        <w:pStyle w:val="Heading1"/>
      </w:pPr>
      <w:r>
        <w:rPr>
          <w:rFonts w:ascii="Play" w:hAnsi="Play"/>
          <w:b/>
          <w:i w:val="0"/>
          <w:color w:val="1F4E79"/>
          <w:sz w:val="32"/>
        </w:rPr>
        <w:t>Approved regular representation retainer</w:t>
      </w:r>
    </w:p>
    <w:p>
      <w:pPr>
        <w:jc w:val="left"/>
      </w:pPr>
      <w:r>
        <w:rPr>
          <w:rFonts w:ascii="Aptos" w:hAnsi="Aptos"/>
          <w:b w:val="0"/>
          <w:i w:val="0"/>
          <w:color w:val="000000"/>
          <w:sz w:val="21"/>
        </w:rPr>
        <w:t>The approved regular representation retainer is $50,000 in-city currency, allocated as $35,000 attorney take-home and $15,000 Whatts Law operations. Court filing and court-service charges remain separate. The $45,000 amount used by the Silver prepaid tier is a controlled discounted eligible-matter charge and must not be described as the regular representation price.</w:t>
      </w:r>
    </w:p>
    <w:sectPr w:rsidR="00FC693F" w:rsidRPr="0006063C" w:rsidSect="00034616">
      <w:footerReference w:type="default" r:id="rId9"/>
      <w:headerReference w:type="default" r:id="rId10"/>
      <w:pgSz w:w="12240" w:h="15840"/>
      <w:pgMar w:top="1037" w:right="1123" w:bottom="979"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595959"/>
        <w:sz w:val="16"/>
      </w:rPr>
      <w:t>Internal Operations Manual  |  Whatts Law</w:t>
      <w:tab/>
      <w:t xml:space="preserve">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AAB7C4"/>
      </w:pBdr>
    </w:pPr>
    <w:r>
      <w:rPr>
        <w:rFonts w:ascii="Aptos" w:hAnsi="Aptos"/>
        <w:b/>
        <w:color w:val="595959"/>
        <w:sz w:val="16"/>
      </w:rPr>
      <w:t>WHATTS LAW  |  DISCORD BOT OPERATIONS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Play" w:hAnsi="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Play" w:hAnsi="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Theme="majorHAnsi" w:eastAsiaTheme="majorEastAsia" w:hAnsiTheme="majorHAnsi" w:cstheme="majorBidi" w:ascii="Play" w:hAnsi="Play"/>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Play" w:hAnsi="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w:hAnsi="Aptos"/>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Whatts Law Incorporated</dc:creator>
  <cp:keywords/>
  <dc:description>generated by python-docx</dc:description>
  <cp:lastModifiedBy/>
  <cp:revision>1</cp:revision>
  <dcterms:created xsi:type="dcterms:W3CDTF">2013-12-23T23:15:00Z</dcterms:created>
  <dcterms:modified xsi:type="dcterms:W3CDTF">2013-12-23T23:15:00Z</dcterms:modified>
  <cp:category/>
</cp:coreProperties>
</file>